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200"/>
        <w:jc w:val="left"/>
      </w:pPr>
      <w:r>
        <w:rPr>
          <w:rFonts w:ascii="Arial" w:hAnsi="Arial" w:eastAsia="Arial"/>
          <w:b/>
          <w:i w:val="0"/>
          <w:color w:val="000000"/>
          <w:sz w:val="56"/>
        </w:rPr>
        <w:t>Машинобудування України: виробнича база, європейська інтеграція і ризик втраченої серійності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машинобудуванні вже видно межу між адаптацією і новим циклом зростання. [1] Далі вирішальними стають швидкість виконання, ціна затримки і здатність утримувати матеріальний результат під воєнним тиском.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Державні рішення тут одночасно працюють з бюджетним обмеженням, безпековим ризиком і потребою зберегти довший горизонт дії. [2] Від цього залежить, які кроки дають короткий ефект, а які створюють нову спроможність на роки вперед.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заходить туди, де видно керований контур виконання, межу ризику і шлях повернення грошей. [3]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Фахівці, підприємці, виробничі команди і люди, що повертаються до цивільної економіки, шукають робочу базу, стабільний дохід, сучасні виробництва і зрозумілу перспективу професійної реалізації. [4] На цьому тримається довший кадровий ресурс для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Воєнний горизонт лишається над усією економічною рамкою. [5] Країна одночасно тримає фронт, підтримує тил, готує повернення військових до цивільного життя і шукає ресурс для нового циклу розвитку, тому далі важливо побачити керовані точки зміни.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Історичний контур</w:t>
      </w:r>
    </w:p>
    <w:p>
      <w:pPr>
        <w:jc w:val="both"/>
      </w:pPr>
      <w:r>
        <w:rPr>
          <w:rFonts w:ascii="Arial" w:hAnsi="Arial" w:eastAsia="Arial"/>
          <w:b w:val="0"/>
          <w:i/>
          <w:color w:val="000000"/>
          <w:sz w:val="24"/>
        </w:rPr>
        <w:t>Історичний контур у цьому дослідженні проходить через п'ять станів - отримали (Get), зберегли (Keep), досягли (Achieved), втратили (Lost), виправляємо (Fix). Через них видно, з якої бази країна переходить до кроку дії - Act.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Старт незалежності у машинобудуванні був спадкоємністю великого радянського виробничого контуру. [6] Україна отримала інфраструктуру, інженерні школи й промислові ланцюги, які створювали високу фізичну потужність і водночас несли в собі планову логіку без ринкової дисципліни та з майбутньою вразливістю до непрозорої приватизації. До 2014 року країна зберегла ядро цього контуру у машинобудуванні, проте перехід до справедливих правил, прозорого капіталу та нижчої залежності від Росії залишився незавершеним. У кризу сектор увійшов із нереформованими інститутами, великою роллю неформальних практик і слабким довгим горизонтом інвестицій.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Після першого воєнного шоку та до 2021 року сектор у машинобудуванні досягнув відносної стабілізації. [7] Ця адаптація спиралася передусім на наявні потужності, зовнішню кон’юнктуру та відкладені структурні компроміси, тоді як модернізація держави й ринку залишалася неповною. У 2022 році повномасштабне вторгнення зламало цей баланс: фізичні активи, логістика, трудові ресурси й регіональні зв’язки увійшли у фазу виживання. Водночас почалося глибоке переналаштування на ЄС і США, а також перегляд ролі оборонної, гуманітарної та антикризової державної машини. На старті 2025-</w:t>
      </w:r>
      <w:hyperlink r:id="rId9">
        <w:r>
          <w:rPr>
            <w:rFonts w:ascii="Arial" w:hAnsi="Arial" w:eastAsia="Arial"/>
            <w:sz w:val="24"/>
            <w:color w:val="0000EE"/>
            <w:u w:val="single"/>
          </w:rPr>
          <w:t>2026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у машинобудуванні вже видно мінімальне ядро для нового циклу зростання: цифрові сервіси, сильніший зовнішній нагляд, повільне, але реальне посилення антикорупційних правил, а також секторні сигнали, що дають матеріал для політичних пакетів і рішень про капітал.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Виробниче ядро і підгалузева карта машинобудування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Українське машинобудування після 2022 року не можна описати одним середнім показником. [8] Сектор зберіг виробниче ядро, але його внутрішня структура стала нерівною: частина підприємств працює в цивільних ланцюгах із нижчим завантаженням, частина інтегрується в європейські компонентні канали, а найдинамічніший контур формується навколо оборонного та подвійного виробництва.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Базова виробнича рамка A4 охоплює три групи переробної промисловості: [9] C28 - машини та обладнання, C29 - автотранспортні засоби, причепи й напівпричепи, C30 - інші транспортні засоби, включно із залізничною та авіаційною технікою. Такий поділ відділяє виробничу статистику від зовнішньоторговельних кодів HS84 і HS85, які описують товарні потоки, а не повну структуру внутрішнього виробництва.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Секторальний звіт Інституту економічних досліджень фіксує машинобудування як окремий промисловий контур України. [10] це важливо, тому що машинобудування не дорівнює лише одному великому заводу або одному оборонному сегменту. Воно складається з важкого, енергетичного, транспортного, електротехнічного, ремонтного, компонентного і оборонного контурів.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Укренергомашини є прикладом високоскладної турбінної компетенції: [11] довідкова картка вказує </w:t>
      </w:r>
      <w:hyperlink r:id="rId10">
        <w:r>
          <w:rPr>
            <w:rFonts w:ascii="Arial" w:hAnsi="Arial" w:eastAsia="Arial"/>
            <w:sz w:val="24"/>
            <w:color w:val="0000EE"/>
            <w:u w:val="single"/>
          </w:rPr>
          <w:t>13%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глобального ринку турбін для АЕС, 169 виготовлених турбін і понад 60 млн кВт сумарної потужності. Цей приклад не описує весь сектор, але показує, що в Україні зберігаються виробничі компетенції світового класу.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Після 2022 року карта підприємств стала рухомішою. [12] Частина виробництв релокувалася, частина залишилася біля старих промислових вузлів, частина працює в кооперації з оборонним попитом. Міністерство економіки повідомляло про </w:t>
      </w:r>
      <w:hyperlink r:id="rId11">
        <w:r>
          <w:rPr>
            <w:rFonts w:ascii="Arial" w:hAnsi="Arial" w:eastAsia="Arial"/>
            <w:sz w:val="24"/>
            <w:color w:val="0000EE"/>
            <w:u w:val="single"/>
          </w:rPr>
          <w:t>725 підприємств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, переміщених у безпечніші регіони, з яких 528 відновили діяльність. Для машинобудування релокація зберігає актив, але не завжди відтворює повний ланцюг постачальників, кадрів, сервісу й енергетичної стабільності.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Таблиця 1. Підгалузева карта машинобудування A4. [13]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Контур A4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Виробничий зміст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Ключова межа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C28 - машини та обладнання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промислові машини, обладнання, вузли, сервіс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серійність і доступ до комплектуючих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C29 - автотранспорт і причепи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транспортні засоби, компоненти, складання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локалізація і стабільний попит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C30 - інші транспортні засоби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залізнична, авіаційна, спеціальна техніка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довгі цикли і технічна кооперація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Електротехніка і кабельна продукція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компоненти для європейських ланцюгів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підйом від компонентів до систем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Оборонне і подвійне виробництво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дрони, платформи, ремонтні вузли, електроніка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перехід від прототипу до серії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Динаміка виробництва і межа післявоєнного відскоку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Це принципово змінює управлінську інтерпретацію: [19] зростання 2023 року підтвердило живучість виробничого ядра, але дані 2024 року показали, що без системних умов цей імпульс не переходить автоматично у довгу траєкторію.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2023 році промисловість України зросла на </w:t>
      </w:r>
      <w:hyperlink r:id="rId12">
        <w:r>
          <w:rPr>
            <w:rFonts w:ascii="Arial" w:hAnsi="Arial" w:eastAsia="Arial"/>
            <w:sz w:val="24"/>
            <w:color w:val="0000EE"/>
            <w:u w:val="single"/>
          </w:rPr>
          <w:t>6,8%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, а машинобудування - на 16,7%. [20] У 2024 році загальне промислове виробництво додало 3,6%, тоді як машинобудування знизилося на 1,2%. Показує, що сектор відреагував на воєнний попит, ремонти, релокацію і часткове відновлення кооперації, але потім зіткнувся з обмеженнями ефективної потужності.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Механізм сповільнення має кілька рівнів: [21] фізична межа обладнання і цехів після 2022 року; кадрова межа, коли відсутність технолога, оператора або інженера блокує серію; комплектуючі й імпортні вузли, які формують довші цикли закупівель; енергетична і логістична нестабільність. Разом ці обмеження перетворюють короткий відскок на плато.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Машинобудівний продукт потребує креслень, специфікацій, випробувань, стандартизації, контролю якості, сервісу і запасних частин. [22]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Завантаження потужностей і операційна межа цивільного сектору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Поточне завантаження потужностей є головним індикатором того, наскільки машинобудування може швидко збільшити випуск без нових інвестицій. [23] Формальне існування підприємства, збережене обладнання або навіть разовий контракт не означають повернення повної промислової спроможності.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485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_A4-G02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48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1. Завантаження потужностей: довоєнна норма, COVID-шок, 2024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[8] [7]</w:t>
      </w:r>
      <w:hyperlink r:id="rId14">
        <w:r>
          <w:rPr>
            <w:rFonts w:ascii="Arial" w:hAnsi="Arial" w:eastAsia="Arial"/>
            <w:sz w:val="22"/>
            <w:color w:val="0000EE"/>
            <w:u w:val="single"/>
          </w:rPr>
          <w:t> A4-G02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До пандемії COVID-19 завантаження потужностей машинобудування оцінювалося на рівні </w:t>
      </w:r>
      <w:hyperlink r:id="rId15">
        <w:r>
          <w:rPr>
            <w:rFonts w:ascii="Arial" w:hAnsi="Arial" w:eastAsia="Arial"/>
            <w:sz w:val="24"/>
            <w:color w:val="0000EE"/>
            <w:u w:val="single"/>
          </w:rPr>
          <w:t>72-78%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, у 2020 році знизилося до 60-65%, а у 2021 році повернулося приблизно до 73%. [24] На початку 2024 року загальна завантаженість промислових потужностей становила 63,4%, а цивільне машинобудування без оборонного сегмента оцінювалося нижче - приблизно 40-55% залежно від підгалузі.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Динаміка відновлення: промисловість проти машинобудування порівнює кілька рядів і на кінцевій точці 2024 дає найвищий рівень у позиції 'Total industry y/y, %' - 3,60. Це фіксує межу, в якій фізичне ядро сектора ще не повернулося до довоєнної норми і потребує точного підсилення. [6] [7]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5200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_A4-G0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520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2. Динаміка відновлення: промисловість проти машинобудування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[6] [7]</w:t>
      </w:r>
      <w:hyperlink r:id="rId17">
        <w:r>
          <w:rPr>
            <w:rFonts w:ascii="Arial" w:hAnsi="Arial" w:eastAsia="Arial"/>
            <w:sz w:val="22"/>
            <w:color w:val="0000EE"/>
            <w:u w:val="single"/>
          </w:rPr>
          <w:t> A4-G01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Укренергомашини як приклад стратегічної компетенції фіксує рух показника від Global NPP turbine market share до Countries where products operate: [14] значення змінюється з 13,0 до 45,0. Це показує, як собівартість і виробничий графік лишаються головною межею рішення.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5338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_A4-G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533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3. Укренергомашини як приклад стратегічної компетенції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[14]</w:t>
      </w:r>
      <w:hyperlink r:id="rId19">
        <w:r>
          <w:rPr>
            <w:rFonts w:ascii="Arial" w:hAnsi="Arial" w:eastAsia="Arial"/>
            <w:sz w:val="22"/>
            <w:color w:val="0000EE"/>
            <w:u w:val="single"/>
          </w:rPr>
          <w:t> A4-G10</w:t>
        </w:r>
      </w:hyperlink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Операційна межа сектору формується там, де цивільні підприємства не отримують достатнього повторюваного попиту, мають дорожчу енергію, працюють з коротким капіталом і одночасно конкурують за кадри з оборонним контуром. [25] Високе завантаження оборонних виробництв не може автоматично компенсувати низьке завантаження цивільного машинобудування, якщо ланцюги, стандарти і клієнти різні.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Це має прямий наслідок для відбудови. [26] Якщо Україна імпортує більшість машин, обладнання, енергетичних вузлів, транспортних систем і спеціальної техніки для реконструкції, вона швидше закриває фізичну потребу, але втрачає частину промислового мультиплікатора.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Європейська експортна інтеграція і компонентний профіль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Експортна географія машинобудування змінилася на користь ЄС, але ця інтеграція має переважно компонентний і електротехнічний характер. [27] Це позитивно для валютної виручки, зайнятості і виробничої дисципліни, але водночас створює межу: компонентний експорт може зростати швидше, ніж повний цикл машинобудування в Україні.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2024 році експорт до ЄС за групою HS84 становив </w:t>
      </w:r>
      <w:hyperlink r:id="rId20">
        <w:r>
          <w:rPr>
            <w:rFonts w:ascii="Arial" w:hAnsi="Arial" w:eastAsia="Arial"/>
            <w:sz w:val="24"/>
            <w:color w:val="0000EE"/>
            <w:u w:val="single"/>
          </w:rPr>
          <w:t>4,2 млрд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євро, а за групою HS85 - 4,3 млрд євро. [28] Частка ЄС в експорті машинобудування зросла приблизно з 39% у 2021 році до 60% у 2024 році.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Кабельна продукція у 2024 році зросла на </w:t>
      </w:r>
      <w:hyperlink r:id="rId21">
        <w:r>
          <w:rPr>
            <w:rFonts w:ascii="Arial" w:hAnsi="Arial" w:eastAsia="Arial"/>
            <w:sz w:val="24"/>
            <w:color w:val="0000EE"/>
            <w:u w:val="single"/>
          </w:rPr>
          <w:t>60%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, до 1,27 млрд доларів США. [29] Цей показник є сильним сигналом інтеграції українських виробників у європейські виробничі ланцюги, особливо в автомобільній та електротехнічній кооперації.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Стратегічна межа полягає у переході від компонентів до складніших систем. [30] Кабель, вузол або електротехнічний компонент створюють робочі місця і валютну виручку, але повний промисловий ефект виникає тоді, коли в Україні залишаються інженерія, тестування, сертифікація, системна інтеграція, сервіс і оновлення продукту. Саме ці функції піднімають країну у ланцюгу доданої вартості.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Європейська інтеграція також підвищує вимоги до якості. [31] Для машинобудування показує сертифікацію, простежуваність компонентів, контроль виробничих процесів, управління ризиками постачання і здатність виконувати довгі контракти. Ці вимоги корисні для модернізації, але вони підвищують поріг входу для підприємств з коротким фінансуванням і нестабільною енергією.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Кооперація, релокація і локалізація виробничих ланцюгів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Кооперація є прихованою основою машинобудування. [32] Один завод рідко створює складну машину повністю самостійно: потрібні метал, електроніка, оптика, гідравліка, програмне забезпечення, інструмент, метрологія, випробування, логістика і сервіс. Війна порушила частину старих коопераційних вузлів, а релокація врятувала активи, але не завжди відновила екосистему навколо них.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НДДКР в Україні: частка ВВП і порівняння з ЄС фіксує рух показника від 2021 до EU average: значення змінюється з 0,38 до 2,20. Це показує, як правило доступу до ринку стає таким самим важливим, як і ціна виробництва. [11]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5200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_A4-G07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520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4. НДДКР в Україні: частка ВВП і порівняння з ЄС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[11]</w:t>
      </w:r>
      <w:hyperlink r:id="rId23">
        <w:r>
          <w:rPr>
            <w:rFonts w:ascii="Arial" w:hAnsi="Arial" w:eastAsia="Arial"/>
            <w:sz w:val="22"/>
            <w:color w:val="0000EE"/>
            <w:u w:val="single"/>
          </w:rPr>
          <w:t> A4-G07</w:t>
        </w:r>
      </w:hyperlink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14850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_A4-G08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148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/>
      <w:r>
        <w:rPr>
          <w:rFonts w:ascii="Arial" w:hAnsi="Arial" w:eastAsia="Arial"/>
          <w:b w:val="0"/>
          <w:i w:val="0"/>
          <w:color w:val="000000"/>
          <w:sz w:val="22"/>
        </w:rPr>
        <w:t>Графік 5. Оборонний tech-контур: гранти, компанії, інвестиції, учасники</w:t>
      </w:r>
      <w:r>
        <w:rPr>
          <w:rFonts w:ascii="Arial" w:hAnsi="Arial" w:eastAsia="Arial"/>
          <w:b w:val="0"/>
          <w:i w:val="0"/>
          <w:color w:val="000000"/>
          <w:sz w:val="22"/>
        </w:rPr>
        <w:t xml:space="preserve"> [12]</w:t>
      </w:r>
      <w:hyperlink r:id="rId25">
        <w:r>
          <w:rPr>
            <w:rFonts w:ascii="Arial" w:hAnsi="Arial" w:eastAsia="Arial"/>
            <w:sz w:val="22"/>
            <w:color w:val="0000EE"/>
            <w:u w:val="single"/>
          </w:rPr>
          <w:t> A4-G08</w:t>
        </w:r>
      </w:hyperlink>
    </w:p>
    <w:p>
      <w:pPr>
        <w:jc w:val="both"/>
      </w:pPr>
      <w:hyperlink r:id="rId26">
        <w:r>
          <w:rPr>
            <w:rFonts w:ascii="Arial" w:hAnsi="Arial" w:eastAsia="Arial"/>
            <w:sz w:val="24"/>
            <w:color w:val="0000EE"/>
            <w:u w:val="single"/>
          </w:rPr>
          <w:t>725 підприємств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були переміщені у безпечніші регіони, і 528 з них відновили діяльність. [33] Для цього сектору показує два одночасні процеси: збереження частини підприємств і розрив частини постачальницьких, кадрових та сервісних зв’язків. Релокований цех може виробляти, але його стара мережа підрядників, постачальників і фахівців не завжди переїжджає разом із ним.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Підвищення рівня локалізації в державних закупівлях машинобудування з 2025 року створює окремий інструмент промислової політики. [34] Його цінність залежить від практичного дизайну: локалізація має стимулювати реальні виробничі операції, компоненти, інженерію і сервіс в Україні, а не лише формальне складання або адміністративну відповідність.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Локалізацію доцільно читати у трьох рівнях. [35] Рівень: монтаж або фінальне складання; виробництво ключових компонентів, контроль якості і сервіс; власна інженерія, випробування, сертифікація і серійне виробництво. Для реіндустріалізації значення має саме третій рівень, тому що він створює компетенцію, яку складно швидко замінити імпортом.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Таблиця 2. Три рівні локалізації для машинобудування. [36]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Рівень локалізації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Що залишається в Україні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Промисловий ефект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Ризик формального підходу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Складання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фінальна операція, частина робочих місць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швидкий запуск поставок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низька додана вартість і висока залежність від імпорту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Компоненти і сервіс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вузли, контроль якості, ремонт, гарантія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стабільніше завантаження підприємств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нестача стандартів і кадрів може обмежити масштаб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Інженерія і серія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конструкція, випробування, документація, серійність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довга конкурентність і експортна спроможність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потребує капіталу, R&amp;D та довгого попиту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Зайнятість, навички і кадрова межа серійності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Кадри в машинобудуванні є частиною виробничої потужності. [40] Верстат, цех або технічна документація не створюють серійний продукт без інженерів, технологів, операторів ЧПК, зварювальників, електронників, метрологів, сервісних інженерів і майстрів виробництва.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Держстатівський контур зайнятості використовується як базова рамка для перевірки промислової праці. [41] Попередник A4 фіксував орієнтир близько </w:t>
      </w:r>
      <w:hyperlink r:id="rId27">
        <w:r>
          <w:rPr>
            <w:rFonts w:ascii="Arial" w:hAnsi="Arial" w:eastAsia="Arial"/>
            <w:sz w:val="24"/>
            <w:color w:val="0000EE"/>
            <w:u w:val="single"/>
          </w:rPr>
          <w:t>308,7 тис.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осіб у групах C28, C29 і C30 у 2021 році.</w:t>
      </w:r>
    </w:p>
    <w:p>
      <w:pPr>
        <w:jc w:val="both"/>
      </w:pPr>
      <w:hyperlink r:id="rId28">
        <w:r>
          <w:rPr>
            <w:rFonts w:ascii="Arial" w:hAnsi="Arial" w:eastAsia="Arial"/>
            <w:sz w:val="24"/>
            <w:color w:val="0000EE"/>
            <w:u w:val="single"/>
          </w:rPr>
          <w:t>74%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компаній в Україні повідомляли про гостру нестачу персоналу, а 40% промислових підприємств - про критичний дефіцит кадрів. [42] Для машинобудування один дефіцитний фахівець може блокувати цілу виробничу операцію: без оператора ЧПК не працює точна механічна обробка, без технолога не запускається серія, без сервісної команди не підтримується гарантійний цикл.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Потрібні швидкі програми перекваліфікації, дуальна освіта, повернення ветеранів у виробничі професії, інженерні школи при підприємствах, підтримка технічних коледжів і прив’язка навчання до реальних замовлень. [43] Без цього навіть наявні цехи можуть залишатися недозавантаженими.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Дослідження і розробки, цифрові технології та оборонний інноваційний контур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Технологічний вузол A4 формується на перетині слабкої цивільної дослідницької бази і швидкого оборонного інноваційного контуру. [44] Цивільна база визначає здатність переходити від ремонтів і компонентів до власних промислових платформ, а оборонний контур показує, що українські команди здатні швидко проходити цикл прототип - тест - зміна конструкції - мала серія.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2024 році внутрішні витрати України на НДДКР становили </w:t>
      </w:r>
      <w:hyperlink r:id="rId29">
        <w:r>
          <w:rPr>
            <w:rFonts w:ascii="Arial" w:hAnsi="Arial" w:eastAsia="Arial"/>
            <w:sz w:val="24"/>
            <w:color w:val="0000EE"/>
            <w:u w:val="single"/>
          </w:rPr>
          <w:t>0,37%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ВВП, тоді як середній орієнтир ЄС у графічному шарі становить 2,2% ВВП. [45] Такий розрив обмежує цифрові двійники, роботизацію, адитивне виробництво, випробувальні стенди, промисловий штучний інтелект і системну інтеграцію.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Цифрові двійники і адитивне виробництво є прикладами технологій, що можуть скоротити цикл розробки, прототипування і ремонту складних виробів. [46]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Платформа Brave1 видала понад 470 грантів, а понад </w:t>
      </w:r>
      <w:hyperlink r:id="rId30">
        <w:r>
          <w:rPr>
            <w:rFonts w:ascii="Arial" w:hAnsi="Arial" w:eastAsia="Arial"/>
            <w:sz w:val="24"/>
            <w:color w:val="0000EE"/>
            <w:u w:val="single"/>
          </w:rPr>
          <w:t>1 500 т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ехнологічних компаній працювали у секторі безпілотних систем. [47] Оборонний контур не замінює цивільне машинобудування, але створює нову культуру швидкої інженерної адаптації.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Головний виклик полягає у перенесенні цієї швидкості в ширшу промислову систему. [48] Оборонна інновація працює короткими циклами, але промислове машинобудування потребує документації, стандартів, повторюваності, сервісу, гарантій і довгих контрактів. Міст між цими двома культурами може стати одним із найцінніших технологічних активів України до 2035 року.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Інерційний коридор і втрачені можливості до 2030-2035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Якщо сектор зберігає енергетичний ризик, недозавантаження цивільних потужностей, кадровий дефіцит, слабкий R&amp;D і коротке фінансування, він може залишитися набором активних ніш без повернення повної промислової серійності. [49]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За стресової інерції -5% на рік індекс до 2030 року знижується до 73,5, а до 2035 року - до 56,9. [50] За м’якої інерції -2% на рік індекс до 2035 року становить 80,1. За відновлювального темпу +5% на рік індекс до 2035 року може досягати 171,0.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Таблиця 3. [51]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Рік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-5% стресова інерція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-2% м’яка інерція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0% стагнація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+2% слабке відновлення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+5% відновлення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2024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100,0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100,0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100,0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100,0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100,0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2025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95,0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98,0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100,0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102,0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105,0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2026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90,3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96,0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100,0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104,0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110,3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2027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85,7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94,1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100,0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106,1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115,8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2028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81,5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92,2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100,0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108,2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121,6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2029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77,4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90,4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100,0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110,4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127,6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2030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73,5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88,6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100,0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112,6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134,0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2035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56,9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80,1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100,0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124,3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171,0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Втрачена можливість у машинобудуванні має чотири виміри: [60] фізичний випуск, який не повертається через недозавантаження і слабкий попит; експорт, де Україна може залишитися постачальником компонентів замість системних рішень; податки і зайнятість, які не виникають без серійного виробництва; компетенції, які деградують, якщо інженери і робітничі фахівці переходять в інші сектори або виїжджають.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Якщо підприємство втрачає команду, технологічну дисципліну, постачальників і клієнтський цикл, відновлення потребує значно більше часу, ніж ремонт обладнання. [61]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Секторальні умови для рішень 2026-2035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Рішення для A4 мають з’єднати цивільне, оборонне і європейське машинобудування в один виробничий контур. [62] Це не означає однакову політику для всіх підгалузей. Показує спільну логіку: завантаження потужностей, кадри, локалізація, R&amp;D, експортна відповідність, довший капітал і енергетична безперервність.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Перший пакет рішень стосується попиту. [63] Державні закупівлі, відбудова, енергетична децентралізація, транспорт, оборона і комунальна інфраструктура можуть формувати довгі серії для українських виробників. Для цього технічні вимоги, строки, сертифікація, передоплата, гарантійні умови і локалізація мають бути узгоджені з реальною промисловою спроможністю підприємств.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Другий пакет стосується виробничої пропозиції. [64] Потрібні програми модернізації обладнання, технологічних коледжів, інженерних центрів, сертифікаційних лабораторій, сервісних компетенцій і експортної підтримки. Вони мають прив’язуватися до підгалузей, де Україна вже має або може швидко створити конкурентну позицію: електротехніка, кабельні продукти, ремонтні системи, енергетичне обладнання, спецтехніка, залізничні вузли, оборонні платформи і промислова автоматизація.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Третій пакет стосується вимірювання. [65]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Таблиця 4. Секторальні умови для рішень A4. [66]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Рішення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Практичний зміст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Очікуваний виробничий ефект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Контрольний індикатор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Прогнозований попит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довгі закупівлі, відбудова, оборонні та інфраструктурні серії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вищий рівень завантаження і повторюваності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частка українського виробництва у закупівлях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Локалізація третього рівня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компоненти, інженерія, випробування, сервіс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зростання доданої вартості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частка українських вузлів і сервісу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Кадрова програма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дуальна освіта, перепідготовка, ветеранські траєкторії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менший виробничий вузол кадрів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професій за підгалузями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R&amp;D і сертифікація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лабораторії, прототипи, цифрові двійники, стандарти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перехід від ремонту до продукту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витрати на НДДКР і кількість сертифікованих виробів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Енергетична безперервність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резервування, контракти, власна генерація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менше зупинок і зривів графіків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години простою через енергію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Окремий контроль потрібен для статусу підприємств. [72] У публічній версії A4 достатньо показати секторну логіку, але для управлінської версії потрібен реєстр: підприємство, власник, область, підгалузь, основна продукція, режим роботи, доступна потужність, зайнятість, експортна орієнтація, енергетичний ризик і потреба в модернізації. Без такого реєстру складно відрізнити діючий виробничий ресурс від формально наявного активу.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Найсильніша практична траєкторія для </w:t>
      </w:r>
      <w:hyperlink r:id="rId31">
        <w:r>
          <w:rPr>
            <w:rFonts w:ascii="Arial" w:hAnsi="Arial" w:eastAsia="Arial"/>
            <w:sz w:val="24"/>
            <w:color w:val="0000EE"/>
            <w:u w:val="single"/>
          </w:rPr>
          <w:t>2026-2035 років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 xml:space="preserve"> виникає там, де збігаються чотири умови: [73] внутрішній попит від відбудови, зовнішній попит з боку ЄС, оборонно-цивільна інженерна адаптація і підтверджена виробнича база. Якщо хоча б одна умова відсутня, сектор усе ще може зростати, але це зростання буде вузьким: або компонентним, або ремонтним, або проектним, без широкої серійної основи.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Паспорт сигналів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1 (A4-S01). Завантаження потужностей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виробничий сигнал. [8] Вплив - він змінює межу рішень у вузлі 'завантаження потужностей і фізичні обмеження'. Практичний результат - параметр, який можна зрушити політикою, капіталом або управлінським рішенням і потім перевірити повторно.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2 (A4-S02). Динаміка відновлення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виробничий сигнал. [6] Вплив - він змінює межу рішень у вузлі 'виробнича база і завантаження'. Практичний результат - параметр, який можна зрушити політикою, капіталом або управлінським рішенням і потім перевірити повторно. Фактична опора така: Динаміка відновлення: промисловість проти машинобудування порівнює кілька рядів і на кінцевій точці 2024 дає найвищий рівень у позиції 'Total industry y/y, %' - 3,60. Це фіксує межу, в якій фізичне ядро сектора ще не повернулося до довоєнної норми і потребує точного підсилення.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3 (A4-S03). Укренергомашини як приклад стратегічної компетенції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енергетичний сигнал. [14] Вплив - він змінює межу рішень у вузлі 'виробнича база і завантаження'. Практичний результат - параметр, який можна зрушити політикою, капіталом або управлінським рішенням і потім перевірити повторно. Фактична опора така: Укренергомашини як приклад стратегічної компетенції фіксує рух показника від Global NPP turbine market share до Countries where products operate: значення змінюється з 13,0 до 45,0. Це показує, як собівартість і виробничий графік лишаються головною межею рішення.</w:t>
      </w:r>
    </w:p>
    <w:p>
      <w:pPr>
        <w:pStyle w:val="Heading2"/>
      </w:pPr>
      <w:r>
        <w:rPr>
          <w:rFonts w:ascii="Arial" w:hAnsi="Arial" w:eastAsia="Arial"/>
          <w:b/>
          <w:i w:val="0"/>
          <w:color w:val="000000"/>
          <w:sz w:val="32"/>
        </w:rPr>
        <w:t>Сигнал 4 (A4-S04). НДДКР в Україні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Тип сигналу - фінансовий сигнал. [11] Вплив - він змінює межу рішень у вузлі 'інновації, локалізація і виробниче оновлення'. Практичний результат - параметр, який можна зрушити політикою, капіталом або управлінським рішенням і потім перевірити повторно. Фактична опора така: НДДКР в Україні: частка ВВП і порівняння з ЄС фіксує рух показника від 2021 до EU average: значення змінюється з 0,38 до 2,20. Це показує, як правило доступу до ринку стає таким самим важливим, як і ціна виробництва.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Висновки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машинобудуванні вирішальною стає послідовність кроків, що зменшує ціну затримки і підсилює виробничу спроможність. [74]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реагує на дисципліну виконання, зрозуміле правило входу і нижчу ціну ризику. [75] Там, де ці умови формуються, воєнна невизначеність переходить у фактор, який можна оцінити, страхувати і закладати в інвестиційну модель.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Праця, інженерні команди і нові виробничі ініціативи тримаються там, де видно реальний фронт роботи, стабільний попит і довший горизонт контракту. [76] Такий зв'язок між рішенням і щоденною економічною поведінкою визначає темп повернення людей та компетенцій.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Суспільна стійкість залежить від прозорих правил, нових виробництв, передбачуваних сервісів і реальної інтеграції тих, хто повертається з війни або вимушеного переміщення. [77] Без цієї опори навіть сильні інвестиційні рішення не переходять у повноцінний цикл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Подальший крок полягає у зміні сигналів, які можна перевірити повторно. [78] Через них державні рішення, приватний капітал і робота фахівців переходять із режиму виживання в режим контрольованого розвитку.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Список джерел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[1] S117 Centre for Economic Policy Research - Ukraine’s Reconstruction: Policy Options for Building an Effective Financial Architecture [Електронний ресурс]. cepr.org, 2022.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[2] S122 World Bank; United Nations; European Commission - Ukraine Fifth Rapid Damage and Needs Assessment (RDNA5) [Електронний ресурс]. worldbank.org,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[3] S087 National Bank of Ukraine (NBU) — FSR 2025 H1 eng [Електронний ресурс]. - bank.gov.ua. - null. - Режим доступу: https://bank.gov.ua/admin_uploads/article/FSR_2025-H1_eng.pdf.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[4] S088 National Bank of Ukraine (NBU) — liberalization [Електронний ресурс]. - bank.gov.ua. - null. - Режим доступу: https://bank.gov.ua/en/markets/liberalization.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[5] S091 International Monetary Fund (IMF) — ukr [Електронний ресурс]. - www.imf.org. - null. - Режим доступу: https://www.imf.org/en/countries/ukr.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[6] S287 GMK Center. Industrial production in Ukraine grew by 5.9% y/y in 2023. URL: https://gmk.center/en/news/industrial-production-in-ukraine-grew-by-5-9-y-y-in-2023/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[7] S286 Trading Economics. Ukraine Industrial Production. URL: https://tradingeconomics.com/ukraine/industrial-production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[8] S285 Interfax-Ukraine. Economic news item. URL: https://interfax.com.ua/news/economic/1058899.html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[9] S280 S280 [Електронний ресурс]. - ec.europa.eu. - б. д.. - Режим доступу: https://ec.europa.eu/eurostat/web/products-eurostat-news/w/ddn-20250507-1.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[10] S281 Rates.fm. Експорт товарів з України: тенденції за секторами. URL: https://rates.fm/ua-uk/expert-opinion/eksport-tovaru-z-ukrayini-tendenciyi-za-sektorami/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[11] S318 Open4Business. Україна виділить на науку 20,1 млрд гривень у 2026 році. URL: https://open4business.com.ua/ukrayina-vydilyt-na-nauku-201-mlrd-gryven-u-2026-roczi/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[12] S323 WarQuants. Factory to frontline виробничий контур. URL: https://www.warquants.com/p/factory-to-frontline-виробничий контур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[13] S309 Focus.ua. Дефіцит кадрів в Україні 2024. URL: https://focus.ua/uk/economics/660522-deficit-kadriv-v-ukrajini-2024-chi-znaydut-robotodavci-4-5-mln-novih-spivrobitnikiv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[14] S265 Українські енергетичні машини. Wikipedia. URL: https://uk.wikipedia.org/wiki/Українські_енергетичні_машини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[15] S203 S203 [Електронний ресурс]. - gmk.center. - б. д.. - Режим доступу: https://gmk.center/en/infographic/ukraines-economic-development-dynamics-slow-down-in-2024/.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[16] S204 S204 [Електронний ресурс]. - downloads.unido.org. - б. д.. - Режим доступу: https://downloads.unido.org/ot/34/08/34089056/WP_3_2024.pdf.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[17] S205 S205 [Електронний ресурс]. - chemistryworld.com. - б. д.. - Режим доступу: https://www.chemistryworld.com/news/ukraines-chemicals-industry-survives-weeks-of-war/4015522.article.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[18] S206 S206 [Електронний ресурс]. - luxmetalgroup.com. - б. д.. - Режим доступу: https://luxmetalgroup.com/from-crisis-to-comeback-ukraines-construction-and-industrial-production-slows-in-2024-but-key-sectors-like-steel-and-food-lead-the-revival/.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[19] S207 S207 [Електронний ресурс]. - gmk.center. - б. д.. - Режим доступу: https://gmk.center/en/news/ostchem-plants-produced-1-8-million-tons-of-mineral-fertilizers-in-2024/.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[20] S208 S208 [Електронний ресурс]. - undp.org. - б. д.. - Режим доступу: https://www.undp.org/ukraine/press-releases/updated-damage-assessment-finds-524-billion-needed-recovery-ukraine-over-next-decade.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[21] S209 S209 [Електронний ресурс]. - worldbank.org. - б. д.. - Режим доступу: https://www.worldbank.org/en/news/press-release/2025/02/25/updated-ukraine-recovery-and-reconstruction-needs-assessment-released.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[22] S210 S210 [Електронний ресурс]. - ostchem.com. - б. д.. - Режим доступу: http://www.ostchem.com/uk/o-kompanii/proizvodstvo/azot.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[23] S211 S211 [Електронний ресурс]. - gmk.center. - б. д.. - Режим доступу: https://gmk.center.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[24] S212 S212 [Електронний ресурс]. - uk.wikipedia.org. - б. д.. - Режим доступу: https://uk.wikipedia.org/wiki/%D0%90%D0%B7%D0%BE%D1%82_\(%D0%BF%D1%96%D0%B4%D0%BF%D1%80%D0%B8%D1%94%D0%BC%D1%81%D1%82%D0%B2%D0%BE.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[25] S213 S213 [Електронний ресурс]. - superagronom.com. - б. д.. - Режим доступу: https://superagronom.com/news/17020-cherkaskiy-azot-zmenshiv-virobnitstvo-selitri-ta-karbamidu-na-korist-kas.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[26] S214 S214 [Електронний ресурс]. - uk.wikipedia.org. - б. д.. - Режим доступу: https://uk.wikipedia.org/wiki/%D0%9E%D0%B4%D0%B5%D1%81%D1%8C%D0%BA%D0%B8%D0%B9_%D0%BF%D1%80%D0%B8%D0%BF%D0%BE%D1%80%D1%82%D0%BE%D0%B2%D0%B8%D0%B9_%D0%B7%D0%B0%D0%B2%D0%BE%D0%B4.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[27] S215 S215 [Електронний ресурс]. - forbes.ua. - б. д.. - Режим доступу: https://forbes.ua/company/chetverta-sproba-uryad-znovu-vistaviv-odeskiy-priportoviy-zavod-na-prodazh-upyatero-deshevshe-nizh-desyat-rokiv-tomu-chi-budut-pokuptsi-29082025-32256.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[28] S216 S216 [Електронний ресурс]. - me.gov.ua. - б. д.. - Режим доступу: https://me.gov.ua/News/Detail?lang=uk-UA&amp;id=79c16100-0faa-4655-9199-984f151af2a0&amp;title=UriadRozpochavProtsesPrivatizatsiiOpz.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[29] S217 S217 [Електронний ресурс]. - uk.wikipedia.org. - б. д.. - Режим доступу: https://uk.wikipedia.org/wiki/%D0%9A%D0%B0%D1%80%D0%BF%D0%B0%D1%82%D0%BD%D0%B0%D1%84%D1%82%D0%BE%D1%85%D1%96%D0%BC.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[30] S218 S218 [Електронний ресурс]. - opendatabot.ua. - б. д.. - Режим доступу: https://opendatabot.ua/c/33129683.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[31] S219 S219 [Електронний ресурс]. - ua.news. - б. д.. - Режим доступу: https://ua.news.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[32] S220 S220 [Електронний ресурс]. - biz.nv.ua. - б. д.. - Режим доступу: https://biz.nv.ua/ukr/markets/shcho-zruynovano-na-zavodi-azot-u-syevyerodonecku-ta-chi-mozhna-vidnoviti-yogo-robotu-novini-ukrajini-50256493.html.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[33] S221 S221 [Електронний ресурс]. - forbes.ua. - б. д.. - Режим доступу: https://forbes.ua/inside/ukraina-mayzhe-vtratila-severodonetskiy-azot-yak-tse-vpline-na-maybutni-vrozhai-i-biznes-dmitra-firtasha-29062022-6876.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[34] S222 S222 [Електронний ресурс]. - ukraineinvest.gov.ua. - б. д.. - Режим доступу: https://ukraineinvest.gov.ua/en/industries/chemicals/.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[35] S223 S223 [Електронний ресурс]. - nditekhim.com.ua. - б. д.. - Режим доступу: http://www.nditekhim.com.ua/en/himichna-promyslovist-ukrayiny-2.html.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[36] S224 S224 [Електронний ресурс]. - vue.gov.ua. - б. д.. - Режим доступу: https://vue.gov.ua/%D0%A3%D0%BA%D1%80%D0%B0%D1%97%D0%BD%D0%B0:_%D1%85%D1%96%D0%BC%D1%96%D1%87%D0%BD%D0%B0_%D0%BF%D1%80%D0%BE%D0%BC%D0%B8%D1%81%D0%BB%D0%BE%D0%B2%D1%96%D1%81%D1%82%D1%8C.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[37] S225 S225 [Електронний ресурс]. - superagronom.com. - б. д.. - Режим доступу: https://superagronom.com/news/16552-cherez-viynu-ostchem-vigotoviv-na-669-menshe-mindobriv-v-2022-rotsi.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[38] S226 S226 [Електронний ресурс]. - cefic.org. - б. д.. - Режим доступу: https://cefic.org/landscape-of-the-industry/ukraine/.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[39] S227 S227 [Електронний ресурс]. - latifundist.com. - б. д.. - Режим доступу: https://latifundist.com/novosti/63364-ukrayina-zbilshila-virobnitstvo-dobriv-tsogorich-na-81.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[40] S228 S228 [Електронний ресурс]. - superagronom.com. - б. д.. - Режим доступу: https://superagronom.com/news/18398-virobnitstvo-mindobriv-ostchem-zroslo-na-195-u-2023-rotsi-ale-znahoditsya-pid-tiskom-importnih-produktiv.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[41] S229 S229 [Електронний ресурс]. - promoboz.com. - б. д.. - Режим доступу: https://promoboz.com/en/journal/2023/4-97-september/ukrayina-u-polum-yi-vijny-oglyad-farmatsevtychnogo-rynku-za-period-z-lyutogo-2022-po-kviten-2023-r/.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[42] S230 S230 [Електронний ресурс]. - ifpri.org. - б. д.. - Режим доступу: https://www.ifpri.org/blog/how-will-russias-invasion-ukraine-affect-global-food-security.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[43] S231 S231 [Електронний ресурс]. - naftogaz.com. - б. д.. - Режим доступу: https://www.naftogaz.com/en/gaz-dlya-vyrobnykiv-tepla.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[44] S232 S232 [Електронний ресурс]. - ua-energy.org. - б. д.. - Режим доступу: https://ua-energy.org/en/posts/30-05-2025.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[45] S233 S233 [Електронний ресурс]. - ec.europa.eu. - б. д.. - Режим доступу: https://ec.europa.eu/eurostat/statistics-explained/index.php?title=Electricity_price_statistics.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[46] S234 S234 [Електронний ресурс]. - nerc.gov.ua. - б. д.. - Режим доступу: https://www.nerc.gov.ua/sferi-diyalnosti/elektroenergiya/promislovist/tarifi-na-elektroenergiyu-dlya-nepobutovih-spozhivachiv/tarif-na-poslugi-z-peredachi-elektrichnoyi-energiyi.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[47] S235 S235 [Електронний ресурс]. - statista.com. - б. д.. - Режим доступу: https://www.statista.com/statistics/1046605/non-household-electricity-prices-european-union-country/.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[48] S236 S236 [Електронний ресурс]. - index.minfin.com.ua. - б. д.. - Режим доступу: https://index.minfin.com.ua/ua/tariff/electric/.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[49] S237 S237 [Електронний ресурс]. - cefic.org. - б. д.. - Режим доступу: https://cefic.org/a-pillar-of-the-european-economy/landscape-of-the-european-chemical-industry/ukraine/.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[50] S238 S238 [Електронний ресурс]. - ilo.org. - б. д.. - Режим доступу: https://www.ilo.org/resource/news/ilo-4-8-million-jobs-have-been-lost-ukraine-war.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[51] S239 S239 [Електронний ресурс]. - index.minfin.com.ua. - б. д.. - Режим доступу: https://index.minfin.com.ua/ua/labour/salary/average/.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[52] S240 S240 [Електронний ресурс]. - oec.world. - б. д.. - Режим доступу: https://oec.world/en/profile/bilateral-product/chemical-products/reporter/ukr.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[53] S241 S241 [Електронний ресурс]. - bcinsight.crugroup.com. - б. д.. - Режим доступу: https://www.bcinsight.crugroup.com/2025/11/21/ukraines-fertilizer-market-abides/.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[54] S242 S242 [Електронний ресурс]. - tradingeconomics.com. - б. д.. - Режим доступу: https://tradingeconomics.com/ukraine/exports/fertilizers.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[55] S243 S243 [Електронний ресурс]. - tradingeconomics.com. - б. д.. - Режим доступу: https://tradingeconomics.com/ukraine/exports.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[56] S244 S244 [Електронний ресурс]. - kmu.gov.ua. - б. д.. - Режим доступу: https://www.kmu.gov.ua/en/news/ukrainskyi-eksport-u-2024-rotsi-zris-na-134-do-41-mlrd-iuliia-svyrydenko.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[57] S245 S245 [Електронний ресурс]. - wits.worldbank.org. - б. д.. - Режим доступу: https://wits.worldbank.org/CountryProfile/en/Country/UKR/Year/LTST/TradeFlow/Export/Partner/by-country/Product/28-38_Chemicals.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[58] S246 S246 [Електронний ресурс]. - worldstopexports.com. - б. д.. - Режим доступу: https://www.worldstopexports.com/ukraines-top-10-exports/.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[59] S247 S247 [Електронний ресурс]. - ukraineinvest.gov.ua. - б. д.. - Режим доступу: https://ukraineinvest.gov.ua/industries/chemicals/.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[60] S248 S248 [Електронний ресурс]. - psm7.com. - б. д.. - Режим доступу: https://psm7.com/uk/nalogovaya/yaka-galuz-splatyla-najbilshe-podatkiv-czogo-roku.html.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[61] S249 S249 [Електронний ресурс]. - index.minfin.com.ua. - б. д.. - Режим доступу: https://index.minfin.com.ua/ua/finance/budget/cons/income/.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[62] S250 S250 [Електронний ресурс]. - tax.gov.ua. - б. д.. - Режим доступу: https://tax.gov.ua/media-tsentr/novini/742510.html.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[63] S251 S251 [Електронний ресурс]. - ukranews.com. - б. д.. - Режим доступу: https://ukranews.com/ua/news/1128762-pererobna-promyslovist-optova-ta-rozdribna-torgivlya-zabezpechyly-ponad-34-podatkovyh-nadhodzhen-v.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[64] S252 S252 [Електронний ресурс]. - blog.youcontrol.market. - б. д.. - Режим доступу: https://blog.youcontrol.market/khimichna-promislovist-ukrayini/.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[65] S253 S253 [Електронний ресурс]. - groupdf.com. - б. д.. - Режим доступу: https://groupdf.com/en/press-center/news/ostchem-plants-produced-1-8-million-tons-of-mineral-fertilizers-in-2024/.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[66] S254 S254 [Електронний ресурс]. - interfax.com. - б. д.. - Режим доступу: https://interfax.com/newsroom/top-stories/100959/.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[67] S255 S255 [Електронний ресурс]. - gmk.center. - б. д.. - Режим доступу: https://gmk.center/en/news/ostchem-plants-produced-850-000-tons-of-mineral-fertilizers-in-1h2025/.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[68] S256 S256 [Електронний ресурс]. - ukranews.com. - б. д.. - Режим доступу: https://ukranews.com/en/news/1096536-ostchem-plants-reduce-fertilizer-production-by-7-5-to-850-000-tons-in-h1-2025.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[69] S257 S257 [Електронний ресурс]. - easylink.cz. - б. д.. - Режим доступу: https://www.easylink.cz/market/ukraine-market-overview/.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[70] S258 S258 [Електронний ресурс]. - globenewswire.com. - б. д.. - Режим доступу: https://www.globenewswire.com/news-release/2026/01/19/3220771/0/en/Green-Ammonia-Market-Research-Report-2025-2032-Global-Industry-Valued-at-US-291-89-Million-in-2024-with-Exceptional-CAGR-of-67-98-to-Reach-US-18-33-Billion-by-2032.html.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[71] S259 S259 [Електронний ресурс]. - iea.org. - б. д.. - Режим доступу: https://www.iea.org/reports/unlocking-ukraines-hydrogen-opportunity-a-roadmap.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[72] S260 S260 [Електронний ресурс]. - greenresiliencefacility.com. - б. д.. - Режим доступу: https://www.greenresiliencefacility.com/project/hydrogen/.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[73] S261 S261 [Електронний ресурс]. - research-and-innovation.ec.europa.eu. - б. д.. - Режим доступу: https://research-and-innovation.ec.europa.eu/strategy/strategy-research-and-innovation/europe-world/international-cooperation/association-horizon-europe/ukraine_en.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[74] S262 S262 [Електронний ресурс]. - horizon-europe.org.ua. - б. д.. - Режим доступу: https://horizon-europe.org.ua/en/heo-in-ua/.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[75] S263 S263 [Електронний ресурс]. - sipri.org. - б. д.. - Режим доступу: https://www.sipri.org/.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[76] S264 S264 [Електронний ресурс]. - ukrenergymachines.com. - б. д.. - Режим доступу: https://ukrenergymachines.com/.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[77] S266 S266 [Електронний ресурс]. - ukrenergymachines.com. - б. д.. - Режим доступу: https://ukrenergymachines.com/press/news/6647.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[78] S267 S267 [Електронний ресурс]. - opendatabot.ua. - б. д.. - Режим доступу: https://opendatabot.ua/c/05762269.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Паспорт графіків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ID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Назва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Розділ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Data room</w:t>
            </w:r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A4-G02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Завантаження потужностей: довоєнна норма, COVID-шок, 2024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A4-03. Завантаження потужностей і фізичні обмеження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14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https://ri.proto.fund/data/a4-g02/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A4-G01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Динаміка відновлення: промисловість проти машинобудування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A4-02. Виробнича база і завантаження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17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https://ri.proto.fund/data/a4-g01/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A4-G10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Укренергомашини як приклад стратегічної компетенції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A4-02. Виробнича база і завантаження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19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https://ri.proto.fund/data/a4-g10/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A4-G07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НДДКР в Україні: частка ВВП і порівняння з ЄС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A4-09. Інновації, локалізація і виробниче оновлення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23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https://ri.proto.fund/data/a4-g07/</w:t>
              </w:r>
            </w:hyperlink>
          </w:p>
        </w:tc>
      </w:tr>
      <w:tr>
        <w:tc>
          <w:tcPr>
            <w:tcW w:type="dxa" w:w="1304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A4-G08</w:t>
            </w:r>
          </w:p>
        </w:tc>
        <w:tc>
          <w:tcPr>
            <w:tcW w:type="dxa" w:w="476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Оборонний tech-контур: гранти, компанії, інвестиції, учасники</w:t>
            </w:r>
          </w:p>
        </w:tc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A4-09. Інновації, локалізація і виробниче оновлення</w:t>
            </w:r>
          </w:p>
        </w:tc>
        <w:tc>
          <w:tcPr>
            <w:tcW w:type="dxa" w:w="1361"/>
          </w:tcPr>
          <w:p>
            <w:pPr>
              <w:jc w:val="left"/>
            </w:pPr>
            <w:r/>
            <w:hyperlink r:id="rId25">
              <w:r>
                <w:rPr>
                  <w:rFonts w:ascii="Arial" w:hAnsi="Arial" w:eastAsia="Arial"/>
                  <w:sz w:val="20"/>
                  <w:color w:val="0000EE"/>
                  <w:u w:val="single"/>
                </w:rPr>
                <w:t>https://ri.proto.fund/data/a4-g08/</w:t>
              </w:r>
            </w:hyperlink>
          </w:p>
        </w:tc>
      </w:tr>
    </w:tbl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  <w:jc w:val="both"/>
    </w:pPr>
    <w:rPr>
      <w:rFonts w:ascii="Arial" w:hAnsi="Arial" w:eastAsia="Arial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120"/>
      <w:jc w:val="left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20"/>
      <w:jc w:val="left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jc w:val="left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120"/>
      <w:jc w:val="left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120"/>
      <w:contextualSpacing/>
      <w:jc w:val="left"/>
    </w:pPr>
    <w:rPr>
      <w:rFonts w:asciiTheme="majorHAnsi" w:eastAsiaTheme="majorEastAsia" w:hAnsiTheme="majorHAnsi" w:cstheme="majorBidi" w:ascii="Arial" w:hAnsi="Arial" w:eastAsia="Arial"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Arial" w:hAnsi="Arial" w:eastAsia="Arial"/>
      <w:b/>
      <w:bCs/>
      <w:color w:val="000000"/>
      <w:sz w:val="22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dingeconomics.com/ukraine/industrial-production" TargetMode="External"/><Relationship Id="rId10" Type="http://schemas.openxmlformats.org/officeDocument/2006/relationships/hyperlink" Target="https://open4business.com.ua/ukrayina-vydilyt-na-nauku-201-mlrd-gryven-u-2026-roczi/" TargetMode="External"/><Relationship Id="rId11" Type="http://schemas.openxmlformats.org/officeDocument/2006/relationships/hyperlink" Target="https://www.warquants.com/p/factory-to-frontline-pipeline" TargetMode="External"/><Relationship Id="rId12" Type="http://schemas.openxmlformats.org/officeDocument/2006/relationships/hyperlink" Target="https://www.undp.org/ukraine/press-releases/updated-damage-assessment-finds-524-billion-needed-recovery-ukraine-over-next-decade" TargetMode="External"/><Relationship Id="rId13" Type="http://schemas.openxmlformats.org/officeDocument/2006/relationships/image" Target="media/image1.png"/><Relationship Id="rId14" Type="http://schemas.openxmlformats.org/officeDocument/2006/relationships/hyperlink" Target="https://ri.proto.fund/data/a4-g02/" TargetMode="External"/><Relationship Id="rId15" Type="http://schemas.openxmlformats.org/officeDocument/2006/relationships/hyperlink" Target="https://uk.wikipedia.org/wiki/%D0%90%D0%B7%D0%BE%D1%82_\(%D0%BF%D1%96%D0%B4%D0%BF%D1%80%D0%B8%D1%94%D0%BC%D1%81%D1%82%D0%B2%D0%BE" TargetMode="External"/><Relationship Id="rId16" Type="http://schemas.openxmlformats.org/officeDocument/2006/relationships/image" Target="media/image2.png"/><Relationship Id="rId17" Type="http://schemas.openxmlformats.org/officeDocument/2006/relationships/hyperlink" Target="https://ri.proto.fund/data/a4-g01/" TargetMode="External"/><Relationship Id="rId18" Type="http://schemas.openxmlformats.org/officeDocument/2006/relationships/image" Target="media/image3.png"/><Relationship Id="rId19" Type="http://schemas.openxmlformats.org/officeDocument/2006/relationships/hyperlink" Target="https://ri.proto.fund/data/a4-g10/" TargetMode="External"/><Relationship Id="rId20" Type="http://schemas.openxmlformats.org/officeDocument/2006/relationships/hyperlink" Target="https://me.gov.ua/News/Detail?lang=uk-UA&amp;id=79c16100-0faa-4655-9199-984f151af2a0&amp;title=UriadRozpochavProtsesPrivatizatsiiOpz" TargetMode="External"/><Relationship Id="rId21" Type="http://schemas.openxmlformats.org/officeDocument/2006/relationships/hyperlink" Target="https://uk.wikipedia.org/wiki/%D0%9A%D0%B0%D1%80%D0%BF%D0%B0%D1%82%D0%BD%D0%B0%D1%84%D1%82%D0%BE%D1%85%D1%96%D0%BC" TargetMode="External"/><Relationship Id="rId22" Type="http://schemas.openxmlformats.org/officeDocument/2006/relationships/image" Target="media/image4.png"/><Relationship Id="rId23" Type="http://schemas.openxmlformats.org/officeDocument/2006/relationships/hyperlink" Target="https://ri.proto.fund/data/a4-g07/" TargetMode="External"/><Relationship Id="rId24" Type="http://schemas.openxmlformats.org/officeDocument/2006/relationships/image" Target="media/image5.png"/><Relationship Id="rId25" Type="http://schemas.openxmlformats.org/officeDocument/2006/relationships/hyperlink" Target="https://ri.proto.fund/data/a4-g08/" TargetMode="External"/><Relationship Id="rId26" Type="http://schemas.openxmlformats.org/officeDocument/2006/relationships/hyperlink" Target="https://forbes.ua/inside/ukraina-mayzhe-vtratila-severodonetskiy-azot-yak-tse-vpline-na-maybutni-vrozhai-i-biznes-dmitra-firtasha-29062022-6876" TargetMode="External"/><Relationship Id="rId27" Type="http://schemas.openxmlformats.org/officeDocument/2006/relationships/hyperlink" Target="https://promoboz.com/en/journal/2023/4-97-september/ukrayina-u-polum-yi-vijny-oglyad-farmatsevtychnogo-rynku-za-period-z-lyutogo-2022-po-kviten-2023-r/" TargetMode="External"/><Relationship Id="rId28" Type="http://schemas.openxmlformats.org/officeDocument/2006/relationships/hyperlink" Target="https://www.ifpri.org/blog/how-will-russias-invasion-ukraine-affect-global-food-security" TargetMode="External"/><Relationship Id="rId29" Type="http://schemas.openxmlformats.org/officeDocument/2006/relationships/hyperlink" Target="https://ec.europa.eu/eurostat/statistics-explained/index.php?title=Electricity_price_statistics" TargetMode="External"/><Relationship Id="rId30" Type="http://schemas.openxmlformats.org/officeDocument/2006/relationships/hyperlink" Target="https://www.statista.com/statistics/1046605/non-household-electricity-prices-european-union-country/" TargetMode="External"/><Relationship Id="rId31" Type="http://schemas.openxmlformats.org/officeDocument/2006/relationships/hyperlink" Target="https://research-and-innovation.ec.europa.eu/strategy/strategy-research-and-innovation/europe-world/international-cooperation/association-horizon-europe/ukraine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