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200"/>
        <w:jc w:val="left"/>
      </w:pPr>
      <w:r>
        <w:rPr>
          <w:rFonts w:ascii="Arial" w:hAnsi="Arial" w:eastAsia="Arial"/>
          <w:b/>
          <w:i w:val="0"/>
          <w:color w:val="000000"/>
          <w:sz w:val="56"/>
        </w:rPr>
        <w:t>Агропромисловий комплекс України: виробнича база, експортна роль і переробний резерв до 2035 року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 агро і агропереробці вже видно межу між адаптацією і новим циклом зростання. [1] Далі вирішальними стають швидкість виконання, ціна затримки і здатність утримувати матеріальний результат під воєнним тиском.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Державні рішення тут одночасно працюють з бюджетним обмеженням, безпековим ризиком і потребою зберегти довший горизонт дії. [2] Від цього залежить, які кроки дають короткий ефект, а які створюють нову спроможність на роки вперед.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заходить туди, де видно керований контур виконання, межу ризику і шлях повернення грошей. [3]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Фахівці, підприємці, виробничі команди і люди, що повертаються до цивільної економіки, шукають робочу базу, стабільний дохід, сучасні виробництва і зрозумілу перспективу професійної реалізації. [4] На цьому тримається довший кадровий ресурс для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Воєнний горизонт лишається над усією економічною рамкою. [5] Країна одночасно тримає фронт, підтримує тил, готує повернення військових до цивільного життя і шукає ресурс для нового циклу розвитку, тому далі важливо побачити керовані точки зміни.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Історичний контур</w:t>
      </w:r>
    </w:p>
    <w:p>
      <w:pPr>
        <w:jc w:val="both"/>
      </w:pPr>
      <w:r>
        <w:rPr>
          <w:rFonts w:ascii="Arial" w:hAnsi="Arial" w:eastAsia="Arial"/>
          <w:b w:val="0"/>
          <w:i/>
          <w:color w:val="000000"/>
          <w:sz w:val="24"/>
        </w:rPr>
        <w:t>Історичний контур у цьому дослідженні проходить через п'ять станів - отримали (Get), зберегли (Keep), досягли (Achieved), втратили (Lost), виправляємо (Fix). Через них видно, з якої бази країна переходить до кроку дії - Act.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Старт незалежності у агропереробці був спадкоємністю великого радянського виробничого контуру. [6] Україна отримала інфраструктуру, інженерні школи й промислові ланцюги, які створювали високу фізичну потужність і водночас несли в собі планову логіку без ринкової дисципліни та з майбутньою вразливістю до непрозорої приватизації. До 2014 року країна зберегла ядро цього контуру у агропереробці, проте перехід до справедливих правил, прозорого капіталу та нижчої залежності від Росії залишився незавершеним. У кризу сектор увійшов із нереформованими інститутами, великою роллю неформальних практик і слабким довгим горизонтом інвестицій.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Після першого воєнного шоку та до 2021 року сектор у агропереробці досягнув відносної стабілізації. [7] Ця адаптація спиралася передусім на наявні потужності, зовнішню кон’юнктуру та відкладені структурні компроміси, тоді як модернізація держави й ринку залишалася неповною. У 2022 році повномасштабне вторгнення зламало цей баланс: фізичні активи, логістика, трудові ресурси й регіональні зв’язки увійшли у фазу виживання. Водночас почалося глибоке переналаштування на ЄС і США, а також перегляд ролі оборонної, гуманітарної та антикризової державної машини. На старті 2025-</w:t>
      </w:r>
      <w:hyperlink r:id="rId9">
        <w:r>
          <w:rPr>
            <w:rFonts w:ascii="Arial" w:hAnsi="Arial" w:eastAsia="Arial"/>
            <w:sz w:val="24"/>
            <w:color w:val="0000EE"/>
            <w:u w:val="single"/>
          </w:rPr>
          <w:t>2026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у агропереробці вже видно мінімальне ядро для нового циклу зростання: цифрові сервіси, сильніший зовнішній нагляд, повільне, але реальне посилення антикорупційних правил, а також секторні сигнали, що дають матеріал для політичних пакетів і рішень про капітал.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Короткий вступ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Агропромисловий комплекс до повномасштабної війни формував близько </w:t>
      </w:r>
      <w:hyperlink r:id="rId10">
        <w:r>
          <w:rPr>
            <w:rFonts w:ascii="Arial" w:hAnsi="Arial" w:eastAsia="Arial"/>
            <w:sz w:val="24"/>
            <w:color w:val="0000EE"/>
            <w:u w:val="single"/>
          </w:rPr>
          <w:t>10%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ВВП, 14% робочої сили і 41% експорту України. [8] У 2021 році виробництво зернових та олійних досягало 105 млн тонн, а у 2023 році після воєнного шоку залишалося на нижчій базі близько 79 млн тонн.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RDNA5 оцінює прямі збитки аграрного сектору у </w:t>
      </w:r>
      <w:hyperlink r:id="rId9">
        <w:r>
          <w:rPr>
            <w:rFonts w:ascii="Arial" w:hAnsi="Arial" w:eastAsia="Arial"/>
            <w:sz w:val="24"/>
            <w:color w:val="0000EE"/>
            <w:u w:val="single"/>
          </w:rPr>
          <w:t>12,1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доларів США, втрати у 78,0 млрд доларів США, а потреби відновлення у 55,3 млрд доларів США. [9] Тому питання АПК виходить за межі врожаю: ідеться про землю, техніку, склади, логістику, переробку, кадри, енергію, компанійну структуру і здатність перетворювати сировинний експорт на продукцію з вищою доданою вартістю.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АПК слід розглядати як виробничий ланцюг: [10] від земельного і майнового шоку до експорту, зайнятості, переробки, технологій і інерційного коридору 2030-2035. Тут важлива доменна діагностика самого сектору: земля, логістика, праця, енергія, переробка та цифрова продуктивність.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Земельний і майновий шок аграрної виробничої бази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Прямі збитки аграрного сектору охоплюють техніку, складську і логістичну інфраструктуру, тваринницькі активи, багаторічні насадження та викрадені ресурси. [11] Для публічної політики така структура шкоди важлива: ремонт окремого об’єкта не відновлює систему, якщо одночасно бракує техніки, складів, безпечної землі і доступної логістики.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Близько </w:t>
      </w:r>
      <w:hyperlink r:id="rId11">
        <w:r>
          <w:rPr>
            <w:rFonts w:ascii="Arial" w:hAnsi="Arial" w:eastAsia="Arial"/>
            <w:sz w:val="24"/>
            <w:color w:val="0000EE"/>
            <w:u w:val="single"/>
          </w:rPr>
          <w:t>20%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сільськогосподарських угідь, або приблизно 7 млн гектарів, були заміновані або втрачені внаслідок війни. [12] Навіть там, де фермер формально зберігає землю, фактична виробнича можливість залежить від безпеки, розмінування, доступу до техніки, страхування і фінансування. Земельний ресурс у цьому сенсі перетворюється на операційний актив лише тоді, коли він знову придатний для роботи.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дев’яти областях у 2020-2024 роках посівні площі зернових скоротилися приблизно на </w:t>
      </w:r>
      <w:hyperlink r:id="rId12">
        <w:r>
          <w:rPr>
            <w:rFonts w:ascii="Arial" w:hAnsi="Arial" w:eastAsia="Arial"/>
            <w:sz w:val="24"/>
            <w:color w:val="0000EE"/>
            <w:u w:val="single"/>
          </w:rPr>
          <w:t>3,3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гектарів. [13]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Практичний наслідок полягає в тому, що земельно-майновий контур має бути першим шаром щорічного моніторингу АПК. [14] Без такого шару виробничий прогноз стає занадто оптимістичним: він бачить ціну, попит і погоду, але недооцінює безпеку поля, стан елеваторів, транспортний доступ, наявність техніки та фактичну здатність господарства профінансувати сезон.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Виробнича динаміка 2019-2025 і нижча операційна база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Виробництво зернових та олійних культур становило близько </w:t>
      </w:r>
      <w:hyperlink r:id="rId13">
        <w:r>
          <w:rPr>
            <w:rFonts w:ascii="Arial" w:hAnsi="Arial" w:eastAsia="Arial"/>
            <w:sz w:val="24"/>
            <w:color w:val="0000EE"/>
            <w:u w:val="single"/>
          </w:rPr>
          <w:t>105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тонн у 2021 році і близько 79 млн тонн у 2023 році. [15] Для відновлення недостатньо повернути фізичний обсяг: сектор повинен зменшити втрати між полем і кінцевим покупцем.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2024 році виробництво зернових скоротилося до приблизно </w:t>
      </w:r>
      <w:hyperlink r:id="rId14">
        <w:r>
          <w:rPr>
            <w:rFonts w:ascii="Arial" w:hAnsi="Arial" w:eastAsia="Arial"/>
            <w:sz w:val="24"/>
            <w:color w:val="0000EE"/>
            <w:u w:val="single"/>
          </w:rPr>
          <w:t>56,2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тонн. [16] Цей показник не є повністю порівнянним із сумою зернових та олійних, але він важливий як сигнал нижчої зернової бази. У публічному аналізі це потребує обережного прочитання: графік показує напрям і масштаб шоку, а не ідеально однорідний статистичний ряд.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2021/22 маркетинговому році урожай зернових та олійних оцінювався на рівні </w:t>
      </w:r>
      <w:hyperlink r:id="rId15">
        <w:r>
          <w:rPr>
            <w:rFonts w:ascii="Arial" w:hAnsi="Arial" w:eastAsia="Arial"/>
            <w:sz w:val="24"/>
            <w:color w:val="0000EE"/>
            <w:u w:val="single"/>
          </w:rPr>
          <w:t>108,8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тонн. [17] Довоєнний максимум створював уявлення про високу автономну силу сектору, але воєнна логістика показала інше: без портів, складів, залізничних і автомобільних коридорів великий врожай може перетворитися на проблему фінансування оборотного капіталу, зберігання і маржі.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FAOSTAT акумулює довгі ряди аграрного виробництва і торгівлі України. [18] Для цього сектору це важливо як методична рамка: один рік не описує траєкторію сектору, тому потрібно поєднувати довгі історичні ряди, воєнні точки </w:t>
      </w:r>
      <w:hyperlink r:id="rId16">
        <w:r>
          <w:rPr>
            <w:rFonts w:ascii="Arial" w:hAnsi="Arial" w:eastAsia="Arial"/>
            <w:sz w:val="24"/>
            <w:color w:val="0000EE"/>
            <w:u w:val="single"/>
          </w:rPr>
          <w:t>2022-2025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і окремі показники переробки. Такий підхід відділяє сезонну волатильність від структурної зміни.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Виробничий висновок для </w:t>
      </w:r>
      <w:hyperlink r:id="rId17">
        <w:r>
          <w:rPr>
            <w:rFonts w:ascii="Arial" w:hAnsi="Arial" w:eastAsia="Arial"/>
            <w:sz w:val="24"/>
            <w:color w:val="0000EE"/>
            <w:u w:val="single"/>
          </w:rPr>
          <w:t>2030-2035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простий: [19] первинне рослинництво може відновити частину фізичного масштабу швидше, ніж переробка, тваринництво і логістика. Однак саме довші ланцюги формують вищу додану вартість, робочі місця та податкову базу. Тому показник тонн потрібний, але він не може бути єдиним критерієм успіху.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Експортна роль, логістична адаптація і валютний контур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До повномасштабної війни аграрний сектор забезпечував близько </w:t>
      </w:r>
      <w:hyperlink r:id="rId18">
        <w:r>
          <w:rPr>
            <w:rFonts w:ascii="Arial" w:hAnsi="Arial" w:eastAsia="Arial"/>
            <w:sz w:val="24"/>
            <w:color w:val="0000EE"/>
            <w:u w:val="single"/>
          </w:rPr>
          <w:t>10%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ВВП, 14% робочої сили і 41% загального експорту. [20] Ця потрійна роль пояснює, чому АПК залишається одним із ключових доменів економічної стійкості: він одночасно підтримує валютну виручку, зайнятість і попит у регіонах. Водночас висока експортна частка створює залежність від логістики та зовнішніх ринків.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2024 році через український експортний коридор і дунайський портовий кластер було оброблено </w:t>
      </w:r>
      <w:hyperlink r:id="rId19">
        <w:r>
          <w:rPr>
            <w:rFonts w:ascii="Arial" w:hAnsi="Arial" w:eastAsia="Arial"/>
            <w:sz w:val="24"/>
            <w:color w:val="0000EE"/>
            <w:u w:val="single"/>
          </w:rPr>
          <w:t>97,2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тонн вантажів, на 57% більше, ніж у 2023 році. [21] Це свідчить про значну адаптацію транспортної системи, але не скасовує проблему вартості, ризику і пропускної здатності. Коли логістика дорожчає, виробник отримує нижчу частку кінцевої ціни, а переробник бачить слабший стимул інвестувати у складніший продукт.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межах «Зернової ініціативи» у серпні 2022 - червні 2023 року через морські порти було експортовано </w:t>
      </w:r>
      <w:hyperlink r:id="rId20">
        <w:r>
          <w:rPr>
            <w:rFonts w:ascii="Arial" w:hAnsi="Arial" w:eastAsia="Arial"/>
            <w:sz w:val="24"/>
            <w:color w:val="0000EE"/>
            <w:u w:val="single"/>
          </w:rPr>
          <w:t>19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тонн агропродукції. [22] Цей показник ілюструє, наскільки залежним залишається сектор від доступу до морської інфраструктури. Сухопутні маршрути і Дунай можуть стабілізувати частину потоків, але вони не повністю замінюють морську економіку для масових товарів.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Експорт агропромислової продукції у 2021 році становив близько </w:t>
      </w:r>
      <w:hyperlink r:id="rId21">
        <w:r>
          <w:rPr>
            <w:rFonts w:ascii="Arial" w:hAnsi="Arial" w:eastAsia="Arial"/>
            <w:sz w:val="24"/>
            <w:color w:val="0000EE"/>
            <w:u w:val="single"/>
          </w:rPr>
          <w:t>27,3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доларів США, а у 2022 році, після шоку портової блокади, публічний інфографічний звіт оцінював сумарний агроекспорт приблизно у 23 млрд доларів США. [23] Така динаміка показує стійкість попиту на українські агротовари, але також демонструє, що експортна виручка стала більш дорогою у логістичному й операційному сенсі.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Частка експорту аграрної продукції у загальному експорті України за </w:t>
      </w:r>
      <w:hyperlink r:id="rId22">
        <w:r>
          <w:rPr>
            <w:rFonts w:ascii="Arial" w:hAnsi="Arial" w:eastAsia="Arial"/>
            <w:sz w:val="24"/>
            <w:color w:val="0000EE"/>
            <w:u w:val="single"/>
          </w:rPr>
          <w:t>19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зросла більш ніж у чотири рази. [24] Це має дві інтерпретації. Перша - позитивна: сектор став однією з головних валютних опор. Друга - структурна: зростання ролі сировинного експорту може витісняти стимули до глибшої переробки, якщо маржа, фінансування і ринкові правила не підтримують довший ланцюг.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Зайнятість, сільська праця і кадрова межа відновлення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Дефіцит робочої сили в аграрному секторі зріс з близько </w:t>
      </w:r>
      <w:hyperlink r:id="rId23">
        <w:r>
          <w:rPr>
            <w:rFonts w:ascii="Arial" w:hAnsi="Arial" w:eastAsia="Arial"/>
            <w:sz w:val="24"/>
            <w:color w:val="0000EE"/>
            <w:u w:val="single"/>
          </w:rPr>
          <w:t>10%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 повномасштабного вторгнення до приблизно 30% у 2024-2025 роках. [25] Для поля показує проблеми з сезонними роботами, механізаторами, водіями і технічним персоналом; для переробки - дефіцит операторів, інженерів, лабораторного контролю, логістів і менеджерів якості.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Кількість робочої сили в Україні після лютого 2022 року зменшилася на </w:t>
      </w:r>
      <w:hyperlink r:id="rId24">
        <w:r>
          <w:rPr>
            <w:rFonts w:ascii="Arial" w:hAnsi="Arial" w:eastAsia="Arial"/>
            <w:sz w:val="24"/>
            <w:color w:val="0000EE"/>
            <w:u w:val="single"/>
          </w:rPr>
          <w:t>10,4%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. [26] Це збільшує ціну кожної технології, яка зменшує ручну працю і підвищує продуктивність.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OECD описує низьку продуктивність праці в аграрному секторі як довготривалу структурну проблему української економіки. [27] Тому кадрова межа не зводиться до кількості працівників. Потрібна зміна якості зайнятості: механізація, цифровий облік, точне землеробство, логістична аналітика, технологи переробки і більша частка робочих місць у харчовій промисловості.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Регіональний ефект кадрового дефіциту особливо важливий для громад. [28] АПК підтримує локальний попит, транспорт, ремонтні сервіси, торгівлю, складські послуги й податкову базу.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На горизонті 2030-2035 кадрова політика для АПК повинна мати виробничий зміст. [29] Освіта, бронювання критичних спеціалістів, перепідготовка ветеранів, автоматизація і підтримка сервісних компаній мають бути пов’язані з конкретними ланками: поле, елеватор, лабораторія, переробка, логістика, експортний контракт.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Собівартість, енергія і маржа виробників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Тарифи на електроенергію для бізнесу у 2024 році перебували орієнтовно в діапазоні </w:t>
      </w:r>
      <w:hyperlink r:id="rId25">
        <w:r>
          <w:rPr>
            <w:rFonts w:ascii="Arial" w:hAnsi="Arial" w:eastAsia="Arial"/>
            <w:sz w:val="24"/>
            <w:color w:val="0000EE"/>
            <w:u w:val="single"/>
          </w:rPr>
          <w:t>6-7 грн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за кВт·год, а публічні оцінки для підприємств на 2025-2026 роки вказують на можливість значно вищого коридору близько 12-15 грн за кВт·год. [30] Для первинного виробництва це підвищує витрати на сушіння, зберігання, охолодження, насосне обладнання та ремонт; для переробки - впливає на кожну тонну складнішого продукту.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Закупівельні ціни на зернові у 2024-2025 роках залишалися низькими відносно витрат виробництва. [31] Коли внутрішня ціна низька, а логістика й енергія дорогі, виробник відкладає інвестиції, зменшує технологічні витрати або продає сировину швидше, ніж це було б оптимально для ланцюга доданої вартості.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Закупівельні ціни на зерно залишаються під тиском через обмежений експортний попит і високу вартість логістики. [32] Це зв’язує аграрний сектор з інфраструктурою і тарифами: навіть висока фізична продуктивність не гарантує прибутковість, якщо ціна на виході з поля поглинається перевезенням, фінансуванням, страхуванням і ризиковою премією.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Рентабельність виробництва ячменю у воєнний період оцінювалася від’ємною і становила близько мінус 31 долар США за тонну. [33] Це не універсальна оцінка для всіх культур, але вона добре показує механізм: аграрна маржа може зникати навіть за наявності врожаю.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Операційна політика повинна розрізняти короткий і довгий тиск. [34] Короткий тиск - це ціна електроенергії, дизелю, кредиту, вагонів, портових і прикордонних послуг. Довгий тиск - це нижча капіталізація господарств, відкладені ремонти, зношення техніки, слабший перехід до переробки та повільніше оновлення технологій. Саме довгий тиск формує інерційний коридор до 2035 року.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Переробка, втрата доданої вартості і локалізація ланцюга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Глибока переробка зерна може забезпечувати зростання доданої вартості у 2,6 раза при переході від зерна до продуктів хлібопекарської групи. [35] Це ключ до промислового прочитання АПК: тонна сировини і тонна готової продукції мають різну економічну вагу, різну зайнятість, різну податкову базу і різну стійкість до логістичних шоків.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Ukraine Facility визначає агропереробку та експорт продукції з вищою доданою вартістю як частину відновлювальної і реформної рамки. [36]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IFC розглядає інвестиції в аграрну та інфраструктурну складову як частину відновлення України. [37] Для АПК це особливо важливо, бо переробка залежить від постійного потоку сировини, охолодження, складів, очищення, внутрішньої логістики та передбачуваного експорту. Без такої інфраструктури завод з вищою доданою вартістю працює як дорогий ізольований актив.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Переробний резерв має кілька практичних напрямів: [38] борошно і хлібопекарські компоненти, олійно-жирова продукція, корми, білкові інгредієнти, молочна переробка, м’ясо-птиця, біоенергетичні продукти, пакування і холодний ланцюг.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Втрачена додана вартість не є абстрактною категорією. [39] Вона проявляється як менша кількість якісних робочих місць, нижча податкова база, слабший попит на інженерні послуги, коротший контрактний горизонт і більша залежність від світових цін на сировину. Перехід до переробки не скасовує рослинництво, але змінює місце України у ланцюгу вартості.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Компанійна структура, концентрація і роль середніх виробників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Сукупна виручка топ-10 агрокомпаній України за перше півріччя 2025 року перевищила </w:t>
      </w:r>
      <w:hyperlink r:id="rId26">
        <w:r>
          <w:rPr>
            <w:rFonts w:ascii="Arial" w:hAnsi="Arial" w:eastAsia="Arial"/>
            <w:sz w:val="24"/>
            <w:color w:val="0000EE"/>
            <w:u w:val="single"/>
          </w:rPr>
          <w:t>118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гривень. [40] Це показує наявність великих корпоративних операторів, здатних акумулювати фінанси, логістику, експортні контракти і технологічне управління. Водночас агрегована виручка не показує повної структури малих і середніх виробників, які утримують значну частину сільської економіки.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Компанійна структура АПК має кілька функціональних груп: [41] великі інтегровані агрохолдинги, виробники рослинницької продукції, тваринницькі комплекси, трейдери, елеваторні і портові оператори, виробники ресурсів, харчові переробники, фермерські господарства і сервісні компанії. Ризик полягає в тому, що політика часто бачить експортний верхній шар, але гірше бачить середній виробничий контур, де формується зайнятість і локальна стійкість.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KSE оцінює загальні непрямі втрати аграрного сектору на рівні понад </w:t>
      </w:r>
      <w:hyperlink r:id="rId27">
        <w:r>
          <w:rPr>
            <w:rFonts w:ascii="Arial" w:hAnsi="Arial" w:eastAsia="Arial"/>
            <w:sz w:val="24"/>
            <w:color w:val="0000EE"/>
            <w:u w:val="single"/>
          </w:rPr>
          <w:t>83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доларів США. [42]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Великі компанії можуть швидше впроваджувати цифровий облік, точне землеробство, експортну сертифікацію та енергетичне резервування. [43] Малі і середні виробники часто мають більшу регіональну укоріненість, але слабший доступ до капіталу, страхування і технологічних сервісів. A6 потребує політики, яка поєднує обидва контури, а не протиставляє їх.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Практичний індикатор компанійної структури до 2035 року - це не тільки виручка топових компаній. [44] Потрібно відстежувати кількість активних господарств, доступ до складів, частку переробки, експортні контракти, інвестиції у техніку, частку цифрового обліку, доступ до кредиту і здатність працювати під вимоги ринку ЄС.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Дослідження і розробки, агротехнології і цифрова продуктивність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 Україні функціонує близько 70 агротехнологічних стартапів у напрямах управління господарством, інтернету речей, дронів та аналітики. [45] Це невеликий, але важливий технологічний контур, який може зменшувати трудовий дефіцит, підвищувати точність внесення ресурсів, поліпшувати контроль поля і знижувати втрати.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485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_A6-G09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485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1. ТОП-10 агрокомпаній: сукупна виручка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[19]</w:t>
      </w:r>
      <w:hyperlink r:id="rId29">
        <w:r>
          <w:rPr>
            <w:rFonts w:ascii="Arial" w:hAnsi="Arial" w:eastAsia="Arial"/>
            <w:sz w:val="22"/>
            <w:color w:val="0000EE"/>
            <w:u w:val="single"/>
          </w:rPr>
          <w:t> A6-G09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Середній річний обсяг інвестицій в українські агротехнологічні проєкти оцінюється приблизно у 4 млн доларів США. [46] Такий масштаб показує, що екосистема існує, але ще не відповідає розміру аграрної економіки.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Впровадження штучного інтелекту та точного землеробства може підвищувати урожайність на </w:t>
      </w:r>
      <w:hyperlink r:id="rId30">
        <w:r>
          <w:rPr>
            <w:rFonts w:ascii="Arial" w:hAnsi="Arial" w:eastAsia="Arial"/>
            <w:sz w:val="24"/>
            <w:color w:val="0000EE"/>
            <w:u w:val="single"/>
          </w:rPr>
          <w:t>15-25%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. [47] Цю оцінку слід читати як потенціал, залежний від культури, ґрунтів, погоди, якості даних і управління.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Дослідження і розробки в АПК не обмежується дронами чи програмним забезпеченням. [48] Він охоплює селекцію, ґрунтову аналітику, біотехнології, кормові рецептури, лабораторний контроль, харчові технології, пакування, енергоефективність переробки, прогнозування логістики і трасування походження продукції. Саме цей широкий технологічний шар створює перехід від сировинної економіки до промислової аграрної системи.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Цифрова продуктивність має бути пов’язана з публічними даними. [49] Без нормалізованої статистики виробництва, переробки, експорту, зайнятості, цін і пошкоджених активів неможливо оцінити, де технологія справді дає результат. Тому A6 потребує регулярної карти показників, яка поєднує державну статистику, галузеві джерела, компанійні зрізи і графи для публічної перевірки.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Інерційний коридор до 2030-2035 і умови промислового переходу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Інерційний коридор АПК до </w:t>
      </w:r>
      <w:hyperlink r:id="rId31">
        <w:r>
          <w:rPr>
            <w:rFonts w:ascii="Arial" w:hAnsi="Arial" w:eastAsia="Arial"/>
            <w:sz w:val="24"/>
            <w:color w:val="0000EE"/>
            <w:u w:val="single"/>
          </w:rPr>
          <w:t>2030-2035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формується там, де сектор зберігає експортну роль, але повільно нарощує переробку, технологічну продуктивність і локалізацію ланцюга. [50] Такий коридор не є провалом: він підтримує валютну виручку і продовольчу безпеку. Проблема в тому, що він залишає країну залежною від сировинних цін, логістичної вартості і зовнішньої кон’юнктури.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Наземні міни та вибухонебезпечні залишки війни зменшують податкові надходження по регіонах на </w:t>
      </w:r>
      <w:hyperlink r:id="rId23">
        <w:r>
          <w:rPr>
            <w:rFonts w:ascii="Arial" w:hAnsi="Arial" w:eastAsia="Arial"/>
            <w:sz w:val="24"/>
            <w:color w:val="0000EE"/>
            <w:u w:val="single"/>
          </w:rPr>
          <w:t>1,1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доларів США щороку. [51]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Аграрний сектор у 2024 році забезпечив значну частку валютних надходжень за публічним галузевим повідомленням. [52] Цей показник потребує обережної класифікації у бюджетному сенсі, але як індикатор він підкреслює роль АПК у зовнішньому балансі країни. Для довгострокової політики важливо, щоб валютний результат дедалі більше спирався на переробку, а не тільки на масовий експорт сировини.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Практичний напрям переходу: безпечна земля і відновлені активи; логістика, яка зменшує втрату маржі між виробником і покупцем; енергія, що дозволяє сушити, зберігати і переробляти продукцію без руйнування економіки проєкту; кадри, бо переробка і цифрові технології не працюють без операторів, інженерів, технологів і менеджерів якості. [53]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Напрям: експортна структура. Якщо країна збільшує фізичні обсяги без зміни структури, вона залишається чутливою до фрахту, портового ризику, цін на зерно і торговельних обмежень. [54]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Мінімальний набір індикаторів для щорічного моніторингу A6 має включати безпечні та засіяні площі, виробництво ключових культур, індекси тваринництва і молока, обсяги переробки, експортну виручку та структуру експорту, логістичну пропускну здатність, ціну енергії, дефіцит кадрів, компанійну концентрацію, показники досліджень і розробок і частку продукції з вищою доданою вартістю. [55]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Секторальні умови для рішень 2026-2035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Секторальні рішення для АПК у 2026-2035 роках повинні починатися з відокремлення трьох різних задач. [56] Перша задача - повернення землі й активів до безпечного виробничого обігу. Друга - збереження експортної пропускної здатності за прийнятної вартості логістики. Третя - нарощування переробки й технологічної продуктивності, щоб фізичний обсяг не залишався єдиним джерелом економічного результату.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170484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_A6-G11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17048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2. A6 workbook normalization queue</w:t>
      </w:r>
      <w:hyperlink r:id="rId33">
        <w:r>
          <w:rPr>
            <w:rFonts w:ascii="Arial" w:hAnsi="Arial" w:eastAsia="Arial"/>
            <w:sz w:val="22"/>
            <w:color w:val="0000EE"/>
            <w:u w:val="single"/>
          </w:rPr>
          <w:t> A6-G11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Прямі збитки, втрати і потреби відновлення аграрного сектору в RDNA5 показують, що відновлення має одночасно фізичний, фінансовий і виробничий вимір. [57] Якщо програма відновлення фінансує лише будівлі або техніку, але не розв’язує проблему логістики, кадрів, розмінування і доступу до оборотного капіталу, вона повертає частину активів без повного економічного ефекту.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RDNA4 показує, що до вторгнення сільське господарство формувало </w:t>
      </w:r>
      <w:hyperlink r:id="rId34">
        <w:r>
          <w:rPr>
            <w:rFonts w:ascii="Arial" w:hAnsi="Arial" w:eastAsia="Arial"/>
            <w:sz w:val="24"/>
            <w:color w:val="0000EE"/>
            <w:u w:val="single"/>
          </w:rPr>
          <w:t>10%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ВВП, 14% робочої сили і 41% експорту. [58] Така вага створює особливу відповідальність: рішення в АПК швидко переходять у зовнішній баланс, зайнятість, регіональні бюджети і платоспроможність суміжних сервісів.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KSE фіксує втрату виручки агросектору через логістичні шоки та блокади на рівні </w:t>
      </w:r>
      <w:hyperlink r:id="rId35">
        <w:r>
          <w:rPr>
            <w:rFonts w:ascii="Arial" w:hAnsi="Arial" w:eastAsia="Arial"/>
            <w:sz w:val="24"/>
            <w:color w:val="0000EE"/>
            <w:u w:val="single"/>
          </w:rPr>
          <w:t>4,437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доларів США. [59] Цей показник пояснює, чому відкриття коридорів не можна оцінювати лише за тоннами. Потрібно бачити, як змінюється маржа виробника, вартість перевалки, швидкість платежу, доступ до складів, ризик затримки і здатність переробника планувати закупівлю сировини.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IFC пов’язує інвестиційні можливості у відновленні України з аграрною та інфраструктурною складовою. [60] Для цього сектору показує, що переробний завод, елеватор, холодильний склад, портова потужність і прикордонний пункт пропуску мають розглядатися як один виробничий маршрут. Без такого маршруту інвестиція в окремий актив може не створити очікуваного мультиплікатора.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Ukraine Facility задає реформну рамку для відновлення, модернізації та інвестиційного переходу. [61] У секторі АПК ця рамка повинна переводитися в конкретні пакети: доступ до фінансування для переробки, стандарти якості, підтримка експорту продукції з вищою доданою вартістю, цифровізація статистики і прозорий облік відновлювальних проєктів.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Дані про агротехнологічний сектор показують наявність приблизно 70 стартапів і близько 4 млн доларів середньорічних інвестицій. [62] Це створює потенціал для цифрового прориву, але також показує вузькість капітального каналу. Розмір аграрної економіки набагато більший за поточний обсяг інвестицій в агротехнології, тому потрібні механізми масштабування технологій через банки, лізинг, сервісні компанії і демонстраційні виробничі майданчики.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Точне землеробство і штучний інтелект можуть давати приріст урожайності на </w:t>
      </w:r>
      <w:hyperlink r:id="rId36">
        <w:r>
          <w:rPr>
            <w:rFonts w:ascii="Arial" w:hAnsi="Arial" w:eastAsia="Arial"/>
            <w:sz w:val="24"/>
            <w:color w:val="0000EE"/>
            <w:u w:val="single"/>
          </w:rPr>
          <w:t>15-25%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за належних умов впровадження. [63] Для державної політики це не означає гарантію автоматичного зростання. Показує, що треба створити умови для даних, сервісу, навчання, вимірювання ефекту і захисту інвестиції фермера у технологію.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Аналіз доданої вартості у зерновому підкомплексі показує значний ефект переходу від сировини до продуктів переробки. [64] Це має бути центральним критерієм для проєктів </w:t>
      </w:r>
      <w:hyperlink r:id="rId37">
        <w:r>
          <w:rPr>
            <w:rFonts w:ascii="Arial" w:hAnsi="Arial" w:eastAsia="Arial"/>
            <w:sz w:val="24"/>
            <w:color w:val="0000EE"/>
            <w:u w:val="single"/>
          </w:rPr>
          <w:t>2026-2035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: підтримка повинна віддавати перевагу тим рішенням, які збільшують внутрішню додану вартість, а не просто пришвидшують вивезення сировини.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Зернові ціни в Україні залишаються під тиском високої логістики та обмеженого експортного попиту. [65] політика цінової стабільності не може бути відокремлена від логістики, страхування, складів і доступу до зовнішніх ринків. Якщо виробник продає нижче економічно безпечного рівня, він скорочує інвестиції в технології і поступово знижує якість виробничої бази.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Публічні дані про ціни електроенергії для бізнесу показують зростання операційного коридору між 2024 і 2025-2026 роками; [66] оцінки для підприємств на 2025-2026 роки вказують на значно вищий можливий рівень витрат. Для АПК це особливо чутливо у сушінні, охолодженні, молочній та м’ясній переробці, зберіганні і водному господарстві.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Молочне виробництво скоротилося з </w:t>
      </w:r>
      <w:hyperlink r:id="rId38">
        <w:r>
          <w:rPr>
            <w:rFonts w:ascii="Arial" w:hAnsi="Arial" w:eastAsia="Arial"/>
            <w:sz w:val="24"/>
            <w:color w:val="0000EE"/>
            <w:u w:val="single"/>
          </w:rPr>
          <w:t>24,5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тонн у 1990 році до близько 7,2 млн тонн у 2024 році. [67] Цей довгий спад показує, що частина аграрних проблем не почалася у 2022 році. Війна наклалася на вже існуючі структурні слабкості тваринництва, переробки, сільської праці і внутрішньої інвестиційної бази.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Топ-10 агрокомпаній у першому півріччі 2025 року заробили понад </w:t>
      </w:r>
      <w:hyperlink r:id="rId39">
        <w:r>
          <w:rPr>
            <w:rFonts w:ascii="Arial" w:hAnsi="Arial" w:eastAsia="Arial"/>
            <w:sz w:val="24"/>
            <w:color w:val="0000EE"/>
            <w:u w:val="single"/>
          </w:rPr>
          <w:t>118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гривень виручки. [68] Середні виробники і фермерські господарства забезпечують просторову щільність сектору, утримують громади і створюють попит на локальні сервіси.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Таким чином, A6 потребує трирівневої політики. [69] Рівень: стійкість первинного виробництва: земля, безпека, техніка, кредит і кадри. Рівень: операційна інфраструктура: елеватори, склади, енергія, логістика, порти і прикордонні переходи. Рівень: промислове ускладнення: харчова переробка, біоіндустріальні продукти, технологічні сервіси, сертифікація, брендування і експорт продукції з вищою доданою вартістю.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Аграрний сектор не можна оцінювати лише за врожаєм. [70] Врожай є необхідною базою, але не показує, яку частину вартості Україна залишає всередині країни. Справжній тест </w:t>
      </w:r>
      <w:hyperlink r:id="rId40">
        <w:r>
          <w:rPr>
            <w:rFonts w:ascii="Arial" w:hAnsi="Arial" w:eastAsia="Arial"/>
            <w:sz w:val="24"/>
            <w:color w:val="0000EE"/>
            <w:u w:val="single"/>
          </w:rPr>
          <w:t>2030-2035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полягає у тому, чи зростає частка переробки, чи зменшується логістична втрата, чи повертається земля у безпечний обіг, чи підвищується продуктивність праці і чи стає технологічний шар помітним у структурі доходів.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Окремий блок рішень стосується статистичної дисципліни. [71] A6 уже має достатньо публічних опор для базової діагностики, але довгі ряди рослинництва, тваринництва, харчової промисловості, регіонального експорту і зовнішньої торгівлі потребують повної нормалізації в єдині часові таблиці. Без цього щорічне оновлення легко перетворюється на набір окремих новин, а не на керовану промислову панель.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Контур моніторингу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Ключовий показник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Навігаційні джерела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Управлінське значення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Земля та активи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Безпечні площі, пошкоджена техніка, склади, логістика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Ukraine Fifth Rapid; AgroPortal; Agrostats (UHMI)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Показує, яка частина потенціалу реально повертається у виробництво.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Виробництво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Зернові, олійні, молоко, тваринництво, харчова промисловість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Ukraine Fourth Rapid; FAOSTAT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Відокремлює сезонний результат від структурної траєкторії.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 і логістика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Вартість експорту, коридори, порти, сухопутні маршрути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Ukraine Fourth Rapid; KSE; Infographics Report; Agribusiness in Ukraine; Agribusiness in Ukraine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Показує, скільки маржі залишається всередині країни.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Праця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 кадрів, продуктивність, технологічне заміщення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OECD Economic Survey:; ICSANAAS; Mediacenter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Оцінює межу фізичного розширення виробництва.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Переробка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Частка продукції з вищою доданою вартістю, харчові інгредієнти, пакування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IFC; Ukraine Facility; NUBiP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Показує промислову якість аграрного зростання.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Компанії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Виручка великих компаній, структура МСП, сервісні ланки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Ukrainian Agritech Industry; Latifundist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Відокремлює корпоративне ядро від просторової щільності сектору.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OECD наголошує на структурній проблемі продуктивності праці в аграрному секторі. [1] Отже, збільшення випуску без зростання продуктивності може закріпити стару модель: багато фізичної роботи, відносно невисока вартість на працівника і слабша податкова база.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Дані про втрату валового збору зернових через скорочення площ та іригації оцінюють структурну втрату приблизно у </w:t>
      </w:r>
      <w:hyperlink r:id="rId9">
        <w:r>
          <w:rPr>
            <w:rFonts w:ascii="Arial" w:hAnsi="Arial" w:eastAsia="Arial"/>
            <w:sz w:val="24"/>
            <w:color w:val="0000EE"/>
            <w:u w:val="single"/>
          </w:rPr>
          <w:t>13-15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тонн на рік. [2] Цей діапазон має особливе значення для прогнозу: навіть за нормальної погоди і добрих цін частина потенціалу не повернеться без відновлення площ, водного господарства і безпечного доступу до землі.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Аграрна логістика у пікові періоди 2022 року могла поглинати </w:t>
      </w:r>
      <w:hyperlink r:id="rId41">
        <w:r>
          <w:rPr>
            <w:rFonts w:ascii="Arial" w:hAnsi="Arial" w:eastAsia="Arial"/>
            <w:sz w:val="24"/>
            <w:color w:val="0000EE"/>
            <w:u w:val="single"/>
          </w:rPr>
          <w:t>45-60%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кінцевої ціни продукції. [3] Цей показник має статус обережного індикатора, але він добре пояснює механізм втрати маржі.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Агроекспорт у 2024 році оцінювався приблизно у </w:t>
      </w:r>
      <w:hyperlink r:id="rId42">
        <w:r>
          <w:rPr>
            <w:rFonts w:ascii="Arial" w:hAnsi="Arial" w:eastAsia="Arial"/>
            <w:sz w:val="24"/>
            <w:color w:val="0000EE"/>
            <w:u w:val="single"/>
          </w:rPr>
          <w:t>24,7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доларів США, а частка агропродукції у загальному експорті становила близько 59%. [4] Ці показники підкреслюють валютну силу сектору, але вони також створюють ризик політичної самоомани. Висока частка експорту не дорівнює високій структурній складності: країна може багато експортувати і водночас втрачати частину можливої доданої вартості.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2022 році експорт продукції АПК скоротився внаслідок блокади портів і руйнування логістичних маршрутів. [5] Це стало практичним стрес-тестом для всієї моделі. Сектор довів здатність адаптуватися, але адаптація мала ціну: дорожча логістика, довші маршрути, складніша документальна робота, вища невизначеність платежів і сильніший тиск на оборотний капітал.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KSE оцінює втрачену додану вартість агросектору у </w:t>
      </w:r>
      <w:hyperlink r:id="rId23">
        <w:r>
          <w:rPr>
            <w:rFonts w:ascii="Arial" w:hAnsi="Arial" w:eastAsia="Arial"/>
            <w:sz w:val="24"/>
            <w:color w:val="0000EE"/>
            <w:u w:val="single"/>
          </w:rPr>
          <w:t>1,768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доларів США. [25] Цей показник варто розглядати як мінімальний сигнал ширшої проблеми.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2024 році через експортний коридор і дунайський портовий кластер було оброблено </w:t>
      </w:r>
      <w:hyperlink r:id="rId19">
        <w:r>
          <w:rPr>
            <w:rFonts w:ascii="Arial" w:hAnsi="Arial" w:eastAsia="Arial"/>
            <w:sz w:val="24"/>
            <w:color w:val="0000EE"/>
            <w:u w:val="single"/>
          </w:rPr>
          <w:t>97,2 млн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тонн вантажів. [11] Цей результат дає позитивний операційний сигнал, але для A6 вирішальним є наступний рівень: чи перетворюється пропускна здатність на дешевшу логістику, довші контракти, стабільніші ціни для виробника і більший простір для переробки.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Пакет рішень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Складові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Очікуваний ефект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Ризик без виконання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Безпечна земля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розмінування, кадастрова актуалізація, страхування, відновлення іригації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повернення площ і податкової бази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нижча виробнича база навіть за нормальної погоди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Логістика і склади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коридори, Дунай, порти, елеватори, прикордонні переходи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менша втрата маржі між полем і покупцем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 є фізично можливим, але економічно слабким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Енергія для переробки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стабільна електроенергія, енергоефективність, резервування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нижча собівартість складнішого продукту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переробка програє сировинному експорту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Кадри і технології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підготовка операторів, сервіс агротехнологій, точне землеробство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вища продуктивність праці і менші втрати ресурсів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кадровий дефіцит блокує розширення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Додана вартість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харчова промисловість, інгредієнти, корми, пакування, бренди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більша внутрішня маржа і податки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валютна роль зберігається, але промисловий ефект обмежений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Операційна логіка A6 також потребує розмежування державної підтримки. [16] Частина інструментів має бути антикризовою: розмінування, ремонт складів, доступ до кредиту, компенсація критичних логістичних вузлів. Частина має бути інвестиційною: переробка, енергоефективність, лабораторії, цифровий облік і сертифікація. Змішування цих інструментів у один бюджетний кошик зменшує прозорість результату.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Для державних і приватних рішень </w:t>
      </w:r>
      <w:hyperlink r:id="rId9">
        <w:r>
          <w:rPr>
            <w:rFonts w:ascii="Arial" w:hAnsi="Arial" w:eastAsia="Arial"/>
            <w:sz w:val="24"/>
            <w:color w:val="0000EE"/>
            <w:u w:val="single"/>
          </w:rPr>
          <w:t>2026-2035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найважливішою є послідовність. [9] Спершу сектор повертає безпечну виробничу базу і зменшує логістичну втрату. Після цього зростає сенс капітальних інвестицій у переробку. Паралельно має будуватися кадровий і технологічний контур. Якщо переробка запускається без кадрів, енергії та ринку, вона стає дорогим активом із низьким завантаженням.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Промисловий резерв АПК полягає у тому, що він уже має сировинну базу, ринкову впізнаваність, корпоративних операторів і валютну роль. [20] Слабке місце полягає у короткому ланцюгу вартості, волатильній логістиці, дефіциті кадрів, енергетичному тиску і недостатньому масштабі технологічного капіталу. Саме це поєднання робить A6 одним із ключових секторів для переходу від відновлення до нової виробничої якості.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Окреме значення має внутрішній попит. [15] Відновлення житла, доріг, енергетики і промислових об’єктів створює попит на харчову продукцію, логістику, пакування, паливно-енергетичні ресурси, місцеві сервіси й зайнятість у громадах.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Не менш важливо відокремити продовольчу безпеку від експортної моделі. [8] Продовольча безпека потребує стабільного виробництва, запасів, внутрішньої логістики, цінової доступності та контролю якості. Експортна модель потребує масштабів, контрактів, сертифікації, портів, трейдингу і валютного результату.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Відновлення тваринництва і молочного сектору потребує довшого інвестиційного горизонту, ніж відновлення частини рослинництва. [21] довгий спад молока є сигналом для окремого переробного пакета, а не лише статистичною ремаркою.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Роль банків і страхування у A6 також потребує окремого прочитання. [24] Виробник не може перейти до складнішої технології, якщо весь фінансовий горизонт обмежений одним сезоном і ризиком втрати активу. Довший капітал, часткове гарантування, страхування воєнних ризиків, лізинг техніки і фінансування складів створюють умови, за яких технологія і переробка стають економічно раціональними.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публічному вимірі A6 повинен уникати двох спрощень. [26] Перше спрощення - вважати, що високий експорт автоматично означає високу промислову якість. Друге - вважати, що переробка вирішується лише будівництвом заводів. Насправді промислова якість виникає на перетині землі, сировини, енергії, кадрів, логістики, стандартів, даних, фінансування і ринку.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Щорічний сигнал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Позитивна інтерпретація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Тривожна інтерпретація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Зростає фізичний випуск зернових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відновлюється посівна база і логістика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зростання може залишатися сировинним без переробки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Зростає агроекспорт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сектор підтримує валютний баланс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маржа може втрачатися через логістику і низьку внутрішню ціну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Зростає частка переробки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країна захоплює більше внутрішньої доданої вартості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ризик недовантаження без енергії, кадрів і сировинної стабільності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Зменшується кадровий дефіцит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технології і навчання дають ефект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можливе тимчасове поліпшення без зростання продуктивності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Зростають інвестиції в агротехнології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з’являється цифрова продуктивність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ефект може залишатися локальним без масштабування сервісів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Поліпшується портова і прикордонна пропускна здатність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 стає надійнішим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вартість маршруту може залишатися надто високою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місцевого рівня A6 означає також іншу логіку відбудови громад. [31] Сильне аграрне підприємство або переробний вузол підтримує дороги, ремонтні майстерні, паливні сервіси, навчання, торгівлю, місцеві бюджети і зайнятість. Коли ж громада залишається тільки сировинною територією з коротким сезоном роботи, вона отримує менше стабільних доходів і менше підстав для повернення людей.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Експортна переорієнтація на Європейський Союз може бути як шансом, так і фільтром. [33] Шанс полягає у ближчому ринку, вищих стандартах і можливості для нішевих продуктів. Фільтр полягає у вимогах до якості, простежуваності, санітарного контролю, стабільності постачання і документальної дисципліни.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Щорічна публічна панель показників потрібна для того, щоб тримати видимими зв’язки між цифрою, джерелом і рішенням. [34] Такий формат відокремлює стабільні факти від припущень і дозволяє порівнювати виробництво, експорт, переробку, зайнятість, енергію та інвестиції в одній керованій рамці.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Підсумкова практична рамка A6 проста: [35] безпечна земля повертає фізичну базу, логістика повертає ціну, переробка повертає додану вартість, технології повертають продуктивність, а кадри повертають здатність масштабувати виробництво. Якщо хоча б один із цих елементів випадає, сектор може залишатися великим за обсягом, але недостатньо сильним як промислова система.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оцінка A6 у публічному розділі не зводиться до врожаю, експорту або однієї великої інвестиційної ідеї. [36] Її якість визначається зв’язком між полем, переробкою, логістикою, енергією, кадрами, фінансами і технологічним управлінням, а також здатністю цього зв’язку залишати більшу частину економічного результату всередині України.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Це і є головна промислова функція аграрного комплексу у відновленні. [10]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Паспорт сигналів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1 (A6-S01). ТОП-10 агрокомпаній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виробничий сигнал. [19] Вплив - він змінює межу рішень у вузлі '/ company concentration'. Практичний результат - параметр, який можна зрушити політикою, капіталом або управлінським рішенням і потім перевірити повторно.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2 (A6-S02). A6 workbook normalization queue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структурний сигнал. [7] Вплив - він змінює межу рішень у вузлі 'working-only normalization queue'. Практичний результат - параметр, який можна зрушити політикою, капіталом або управлінським рішенням і потім перевірити повторно.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Висновки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агро і агропереробці вирішальною стає послідовність кроків, що зменшує ціну затримки і підсилює виробничу спроможність. [27]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реагує на дисципліну виконання, зрозуміле правило входу і нижчу ціну ризику. [38] Там, де ці умови формуються, воєнна невизначеність переходить у фактор, який можна оцінити, страхувати і закладати в інвестиційну модель.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Праця, інженерні команди і нові виробничі ініціативи тримаються там, де видно реальний фронт роботи, стабільний попит і довший горизонт контракту. [39] Такий зв'язок між рішенням і щоденною економічною поведінкою визначає темп повернення людей та компетенцій.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Суспільна стійкість залежить від прозорих правил, нових виробництв, передбачуваних сервісів і реальної інтеграції тих, хто повертається з війни або вимушеного переміщення. [41] Без цієї опори навіть сильні інвестиційні рішення не переходять у повноцінний цикл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Подальший крок полягає у зміні сигналів, які можна перевірити повторно. [40] Через них державні рішення, приватний капітал і робота фахівців переходять із режиму виживання в режим контрольованого розвитку.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Список джерел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[1] S117 Centre for Economic Policy Research - Ukraine’s Reconstruction: Policy Options for Building an Effective Financial Architecture [Електронний ресурс]. cepr.org, 2022.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[2] S122 World Bank; United Nations; European Commission - Ukraine Fifth Rapid Damage and Needs Assessment (RDNA5) [Електронний ресурс]. worldbank.org,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[3] S087 National Bank of Ukraine (NBU) — FSR 2025 H1 eng [Електронний ресурс]. - bank.gov.ua. - null. - Режим доступу: https://bank.gov.ua/admin_uploads/article/FSR_2025-H1_eng.pdf.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[4] S088 National Bank of Ukraine (NBU) — liberalization [Електронний ресурс]. - bank.gov.ua. - null. - Режим доступу: https://bank.gov.ua/en/markets/liberalization.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[5] S091 International Monetary Fund (IMF) — ukr [Електронний ресурс]. - www.imf.org. - null. - Режим доступу: https://www.imf.org/en/countries/ukr.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[6] S141 AgroPortal - Втрати агросектору України від війни [Електронний ресурс]. agroportal.ua, 2023. Режим доступу: https://agroportal.ua/news/ukraina/vtrati-agrosektoru-ukrajini-vid-viyni-perevishchuyut-74-mlrd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[7] S174 Ukraine Fifth Rapid Damage and Needs Assessment (RDNA5) [Електронний ресурс]. worldbank.org,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[8] S140 УКАБ - Вплив війни на прибутковість сільськогосподарського виробництва (Випуск №4) [Електронний ресурс]. static.ukrinform.com, 2024. Режим доступу: https://static.ukrinform.com/files/1718371627-7639.pdf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[9] S130 Ukraine Fifth Rapid Damage and Needs Assessment (RDNA5) [Електронний ресурс]. worldbank.org, 2026. Режим доступу: https://documents1.worldbank.org/curated/en/099022026094036395/pdf/P514499-22f93f3a-4278-42bc-b907-db9553d12069.pdf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[10] S155 UN Population Portal - Ukraine Demographic Indicators [Електронний ресурс]. un.org,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[11] S173 Ukraine Fourth Rapid Damage and Needs Assessment (RDNA4) [Електронний ресурс]. worldbank.org,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[12] S150 Mediacenter - Ukraine Faces a 30% Labor Shortage in Agriculture [Електронний ресурс]. mediacenter.org.ua, 2024. Режим доступу: https://mediacenter.org.ua/ukraine-faces-a-30-labor-shortage-in-agriculture/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[13] S146 MinFin - Electricity Tariffs for Business in Ukraine [Електронний ресурс]. index.minfin.com.ua, 2024. Режим доступу: https://index.minfin.com.ua/ua/tariff/electric/prom/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[14] S325 S325 [Електронний ресурс]. - ecotech.ua. - б. д.. - Режим доступу: https://www.ecotech.ua/yaka-czina-svitla-dlya-pidpryyemstva-z-travnya-2025-roku/.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[15] S136 UIFuture - 30 Years of Independence: Economic Outcomes of Ukraine [Електронний ресурс]. uifuture.org, 2021. Режим доступу: https://uifuture.org/publications/30-rokiv-nezalezhnosti-ukrayiny-ekonomichni-pidsumky/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[16] S151 Tridge - Agricultural Sector Contribution to Taxes and FX Revenues [Електронний ресурс]. tridge.com, 2024. Режим доступу: https://www.tridge.com/news/the-agricultural-sector-paid-excise-tax-of-u-orjbhj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[17] S182 Information Note on Energy Sector Performance in 2021 [Електронний ресурс]. mev.gov.ua, 2021.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[18] S135 FAOSTAT - Ukraine: Agricultural Production and Trade Statistics [Електронний ресурс]. fao.org, 2025. Режим доступу: https://openknowledge.fao.org/server/api/core/bitstreams/ece7c683-4659-4fd0-b958-4bcbe8654cf7/content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[19] S152 Latifundist - Top‑10 Agricultural Companies of Ukraine by Revenue [Електронний ресурс]. latifundist.com, 2025. Режим доступу: https://latifundist.com/novosti/68211-top-10-agrokompanij-ukrayini-zarobili-ponad-118-mlrd-grn-za-pershe-pivrichchya-2025-roku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[20] S137 Agribusiness in Ukraine 2025 - Infographics Report [Електронний ресурс]. agribusinessinukraine.com, 2025. Режим доступу: https://agribusinessinukraine.com/the-infographics-report-ukrainian-agribusiness-2025/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[21] S129 Ukraine Fourth Rapid Damage and Needs Assessment (RDNA4) [Електронний ресурс]. worldbank.org, 2024. Режим доступу: https://documents1.worldbank.org/curated/en/099052925103531065/pdf/P180174-93c8e8c1-83a2-487d-aaec-a8435f9db418.pdf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[22] S138 Agribusiness in Ukraine 2021-2022 [Електронний ресурс]. agribusinessinukraine.com, 2022. Режим доступу: https://agribusinessinukraine.com/get_file/id/agrobiznesukraini2021-2022.pdf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[23] S183 Power Generation Structure in Ukraine - 2021 [Електронний ресурс]. uaea.com.ua, 2021.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[24] S131 OECD Economic Survey: Ukraine 2025 [Електронний ресурс]. oecd.org, 2025. Режим доступу: https://www.oecd.org/content/dam/oecd/en/publications/reports/2025/05/oecd-economic-surveys-ukraine-2025_0bb82ef9/940cee85-en.pdf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[25] S132 KSE - Russia Will Pay (Direct &amp; Indirect Damages to Agriculture) [Електронний ресурс]. kse.ua, 2024. Режим доступу: https://kse.ua/ua/russia-will-pay/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[26] S133 IFC - Rebuilding Ukraine: Investment Opportunities in Agriculture and Infrastructure [Електронний ресурс]. ifc.org, 2025. Режим доступу: https://www.ifc.org/content/dam/ifc/doc/2025/rebuilding-ukraine-investment-opportunities-in-construction-en.pdf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[27] S156 OECD Economic Survey: Ukraine 2025 [Електронний ресурс]. oecd.org,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[28] S134 Ukraine Facility - Recovery and Reform Plan of Ukraine [Електронний ресурс]. me.gov.ua, 2024. Режим доступу: https://www.ukrainefacility.me.gov.ua/wp-content/uploads/2024/03/plan-dlya-ukraine-facility_prezentacziya.pdf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[29] S139 Agribusiness in Ukraine 2023 [Електронний ресурс]. agribusinessinukraine.com, 2023. Режим доступу: https://agribusinessinukraine.com/get_file/id/the-infographics-report-ukrainian-agribusiness-2023.pdf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[30] S142 Agrostats (UHMI) - Crop Area and Yield Statistics by Region [Електронний ресурс]. agrostats.uhmi.org.ua, 2024. Режим доступу: https://agrostats.uhmi.org.ua/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[31] S144 Ukrainian Agritech Industry Guide [Електронний ресурс]. agritech.unit.city, 2024. Режим доступу: http://agritech.unit.city/guide/f98ewf9fewfw/AgriTech_Industry_guide_en.pdf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[32] S143 NUBiP - Organizational and Economic Foundations of Value Added Formation in the Grain Subcomplex [Електронний ресурс]. dglib.nubip.edu.ua, 2019. Режим доступу: https://dglib.nubip.edu.ua/server/api/core/bitstreams/177647ae-1830-4ad8-ab69-9e28cd0d4cfc/content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[33] S145 ICSANAAS - Artificial Intelligence and Precision Agriculture [Електронний ресурс]. icsanaas.com.ua, 2024. Режим доступу: https://icsanaas.com.ua/wp-content/uploads/2024/12/Збірник-матеріалів-конференції-22-жовтня-2024-р.pdf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[34] S147 Ecotech - Electricity Prices for Enterprises in Ukraine [Електронний ресурс]. ecotech.ua, 2025. Режим доступу: https://www.ecotech.ua/yaka-czina-svitla-dlya-pidpryyemstva-z-travnya-2025-roku/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[35] S148 MinFin - Grain Prices in Ukraine [Електронний ресурс]. index.minfin.com.ua, 2026. Режим доступу: https://index.minfin.com.ua/ua/markets/product-prices/2026/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[36] S149 GrainTrade - Procurement Prices for Grain in Ukraine [Електронний ресурс]. graintrade.com.ua, 2026. Режим доступу: https://graintrade.com.ua/novosti/zakupivelni-tcini-na-zerno-v-ukraini-na-24-bereznya-2026-roku.html Дата звернення: 2026-03-15.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[37] S171 Rebuilding Ukraine - Labour and Investment Needs in Construction [Електронний ресурс]. ifc.org,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[38] S157 Ukrainian Refugees After Three Years Abroad [Електронний ресурс]. ces.org.ua,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[39] S158 UNHCR - Ukraine Situation: Refugees, Return and Integration [Електронний ресурс]. unhcr.org,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[40] S160 Eurostat - Temporary Protection for Persons Fleeing Ukraine [Електронний ресурс]. ec.europa.eu,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[41] S159 Financial Costing of the Human Capital Losses in Ukraine [Електронний ресурс]. undp.org, 2023.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[42] S164 Ukraine Human Capital Chartbook 2025 [Електронний ресурс]. kse.ua,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[43] S161 IOM - Ukraine Internal Displacement (DTM Reports) [Електронний ресурс]. iom.int,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[44] S162 Ukraine Fourth Rapid Damage and Needs Assessment (RDNA4) [Електронний ресурс]. worldbank.org,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[45] S163 Ukraine Fifth Rapid Damage and Needs Assessment (RDNA5) [Електронний ресурс]. worldbank.org,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[46] S165 Inflation Report - October 2025 [Електронний ресурс]. bank.gov.ua,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[47] S166 Employer Survey on Labour Shortages [Електронний ресурс]. dcz.gov.ua,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[48] S167 Ukraine - Resilience at Work: Labour Market and Displacement [Електронний ресурс]. reliefweb.int,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[49] S168 Main Characteristics of Ukraine’s Labour Market [Електронний ресурс]. niss.gov.ua,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[50] S169 Economy During the War - CES Tracker [Електронний ресурс]. ces.org.ua,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[51] S170 KSE - Russia Will Pay: Economic Losses of Ukraine [Електронний ресурс]. kse.ua,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[52] S175 KSE - Russia Will Pay: Damages to Ukraine’s Infrastructure [Електронний ресурс]. kse.ua,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[53] S172 Demographic Estimates of Ukraine’s Population (Expert Interviews) [Електронний ресурс]. fakty.com.ua,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[54] S176 Energy Map of Ukraine - Power Generation and Infrastructure [Електронний ресурс]. energy-map.info,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[55] S177 State of Ukraine’s Power Sector at the End of 2025 [Електронний ресурс]. razumkov.org.ua,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[56] S191 Consequences of Russian Strikes on Ports and Railways of Ukraine [Електронний ресурс]. epravda.com.ua,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[57] S178 Energy System of Ukraine at the End of 2024 and Scenarios for 2025 [Електронний ресурс]. oil-gas.com.ua,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[58] S179 KSE Calculated Energy Sector Losses from Russian Attacks [Електронний ресурс]. slovoidilo.ua,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[59] S180 KSE Increased Estimate of Ukraine’s Energy Sector Losses to $56 Billion [Електронний ресурс]. ua-energy.org,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[60] S195 Rebuilding Ukraine: Investment Opportunities in Construction [Електронний ресурс]. ifc.org,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[61] S181 State of Ukraine’s Energy System After Missile Strikes [Електронний ресурс]. gmk.center,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[62] S184 Information on Ukrainian Railways Before 2022 [Електронний ресурс]. mtu.gov.ua, 2021.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[63] S185 War on the Rails: Why Ukrainian Railways Became a Target [Електронний ресурс]. tsn.ua,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[64] S193 Ukraine and the EU Agreed Further Steps to Develop Danube Logistics [Електронний ресурс]. rubryka.com,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[65] S186 Nearly 10,000 km of Railways Destroyed by the War [Електронний ресурс]. ukrinform.ua,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[66] S187 Technical Condition of Public Roads in Ukraine [Електронний ресурс]. mindev.gov.ua,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[67] S188 Cargo Turnover of Ukrainian Ports in 2021-2023 [Електронний ресурс]. cfts.org.ua,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[68] S190 Ukrainian Seaports Executed Over 95% of Cargo Handling Plan in 2025 [Електронний ресурс]. mindev.gov.ua,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[69] S189 Cargo Turnover of Ukrainian Seaports in 2024 Reached 97.2 Million Tons [Електронний ресурс]. uspa.gov.ua,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[70] S192 Logistics Component of Post-War Recovery: Challenges and Resources [Електронний ресурс]. ukrinform.ua, 2023.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[71] S194 OECD Economic Survey: Ukraine 2025 [Електронний ресурс]. oecd.org,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[72] S196 Ukraine’s Reconstruction: Policy Options for Building an Effective Financial Architecture [Електронний ресурс]. cepr.org, 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[73] S197 KSE - Damages Report: Infrastructure Losses in Ukraine (November 2024) [Електронний ресурс]. kse.ua,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[74] S202 Energy Sector Losses of Ukraine Exceeded $56 Billion - KSE [Електронний ресурс]. ukrinform.ua,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[75] S199 Ukraine Lost More Than Half of Its Power Generation Capacity [Електронний ресурс]. lb.ua,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[76] S200 Logistics in Ukraine During the War: Infrastructure Losses and Bottlenecks [Електронний ресурс]. nv.ua, 2024.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[77] S201 Impact of War on Ukraine’s Port Export Logistics [Електронний ресурс]. journals.dut.edu.ua, 2023.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Паспорт графіків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ID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Назва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Розділ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Data room</w:t>
            </w:r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A6-G09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ТОП-10 агрокомпаній: сукупна виручка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A6-09 / company concentration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29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https://ri.proto.fund/data/a6-g09/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A6-G11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A6 workbook normalization queue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Working-only normalization queue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33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https://ri.proto.fund/data/a6-g11/</w:t>
              </w:r>
            </w:hyperlink>
          </w:p>
        </w:tc>
      </w:tr>
    </w:tbl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  <w:jc w:val="both"/>
    </w:pPr>
    <w:rPr>
      <w:rFonts w:ascii="Arial" w:hAnsi="Arial" w:eastAsia="Arial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120"/>
      <w:jc w:val="left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20"/>
      <w:jc w:val="left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jc w:val="left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20" w:after="120"/>
      <w:jc w:val="left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120"/>
      <w:contextualSpacing/>
      <w:jc w:val="left"/>
    </w:pPr>
    <w:rPr>
      <w:rFonts w:asciiTheme="majorHAnsi" w:eastAsiaTheme="majorEastAsia" w:hAnsiTheme="majorHAnsi" w:cstheme="majorBidi" w:ascii="Arial" w:hAnsi="Arial" w:eastAsia="Arial"/>
      <w:color w:val="00000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Arial" w:hAnsi="Arial" w:eastAsia="Arial"/>
      <w:b/>
      <w:bCs/>
      <w:color w:val="000000"/>
      <w:sz w:val="22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s1.worldbank.org/curated/en/099022026094036395/pdf/P514499-22f93f3a-4278-42bc-b907-db9553d12069.pdf" TargetMode="External"/><Relationship Id="rId10" Type="http://schemas.openxmlformats.org/officeDocument/2006/relationships/hyperlink" Target="https://static.ukrinform.com/files/1718371627-7639.pdf" TargetMode="External"/><Relationship Id="rId11" Type="http://schemas.openxmlformats.org/officeDocument/2006/relationships/hyperlink" Target="https://mediacenter.org.ua/ukraine-faces-a-30-labor-shortage-in-agriculture/" TargetMode="External"/><Relationship Id="rId12" Type="http://schemas.openxmlformats.org/officeDocument/2006/relationships/hyperlink" Target="https://index.minfin.com.ua/ua/tariff/electric/prom/" TargetMode="External"/><Relationship Id="rId13" Type="http://schemas.openxmlformats.org/officeDocument/2006/relationships/hyperlink" Target="https://uifuture.org/publications/30-rokiv-nezalezhnosti-ukrayiny-ekonomichni-pidsumky/" TargetMode="External"/><Relationship Id="rId14" Type="http://schemas.openxmlformats.org/officeDocument/2006/relationships/hyperlink" Target="https://www.tridge.com/news/the-agricultural-sector-paid-excise-tax-of-u-orjbhj" TargetMode="External"/><Relationship Id="rId15" Type="http://schemas.openxmlformats.org/officeDocument/2006/relationships/hyperlink" Target="https://www.mev.gov.ua/sites/default/files/field/pdf/2022-02/inf_dov_veres_9mis_21_zv_0.pdf" TargetMode="External"/><Relationship Id="rId16" Type="http://schemas.openxmlformats.org/officeDocument/2006/relationships/hyperlink" Target="https://openknowledge.fao.org/server/api/core/bitstreams/ece7c683-4659-4fd0-b958-4bcbe8654cf7/content" TargetMode="External"/><Relationship Id="rId17" Type="http://schemas.openxmlformats.org/officeDocument/2006/relationships/hyperlink" Target="https://latifundist.com/novosti/68211-top-10-agrokompanij-ukrayini-zarobili-ponad-118-mlrd-grn-za-pershe-pivrichchya-2025-roku" TargetMode="External"/><Relationship Id="rId18" Type="http://schemas.openxmlformats.org/officeDocument/2006/relationships/hyperlink" Target="https://agribusinessinukraine.com/the-infographics-report-ukrainian-agribusiness-2025/" TargetMode="External"/><Relationship Id="rId19" Type="http://schemas.openxmlformats.org/officeDocument/2006/relationships/hyperlink" Target="https://documents1.worldbank.org/curated/en/099052925103531065/pdf/P180174-93c8e8c1-83a2-487d-aaec-a8435f9db418.pdf" TargetMode="External"/><Relationship Id="rId20" Type="http://schemas.openxmlformats.org/officeDocument/2006/relationships/hyperlink" Target="https://agribusinessinukraine.com/get_file/id/agrobiznesukraini2021-2022.pdf" TargetMode="External"/><Relationship Id="rId21" Type="http://schemas.openxmlformats.org/officeDocument/2006/relationships/hyperlink" Target="https://uaea.com.ua/news/pek-news/power-generation-202112.html" TargetMode="External"/><Relationship Id="rId22" Type="http://schemas.openxmlformats.org/officeDocument/2006/relationships/hyperlink" Target="https://www.oecd.org/content/dam/oecd/en/publications/reports/2025/05/oecd-economic-surveys-ukraine-2025_0bb82ef9/940cee85-en.pdf" TargetMode="External"/><Relationship Id="rId23" Type="http://schemas.openxmlformats.org/officeDocument/2006/relationships/hyperlink" Target="https://kse.ua/ua/russia-will-pay/" TargetMode="External"/><Relationship Id="rId24" Type="http://schemas.openxmlformats.org/officeDocument/2006/relationships/hyperlink" Target="https://www.ifc.org/content/dam/ifc/doc/2025/rebuilding-ukraine-investment-opportunities-in-construction-en.pdf" TargetMode="External"/><Relationship Id="rId25" Type="http://schemas.openxmlformats.org/officeDocument/2006/relationships/hyperlink" Target="https://agrostats.uhmi.org.ua/" TargetMode="External"/><Relationship Id="rId26" Type="http://schemas.openxmlformats.org/officeDocument/2006/relationships/hyperlink" Target="https://ec.europa.eu/eurostat/statistics-explained/index.php?title=Temporary_protection_for_persons_fleeing_Ukraine_-_monthly_statistics" TargetMode="External"/><Relationship Id="rId27" Type="http://schemas.openxmlformats.org/officeDocument/2006/relationships/hyperlink" Target="https://kse.ua/wp-content/uploads/2025/05/Ukraine-Human-Capital-Chartbook-2025.pdf" TargetMode="External"/><Relationship Id="rId28" Type="http://schemas.openxmlformats.org/officeDocument/2006/relationships/image" Target="media/image1.png"/><Relationship Id="rId29" Type="http://schemas.openxmlformats.org/officeDocument/2006/relationships/hyperlink" Target="https://ri.proto.fund/data/a6-g09/" TargetMode="External"/><Relationship Id="rId30" Type="http://schemas.openxmlformats.org/officeDocument/2006/relationships/hyperlink" Target="https://www.dcz.gov.ua/stat/statsurvey" TargetMode="External"/><Relationship Id="rId31" Type="http://schemas.openxmlformats.org/officeDocument/2006/relationships/hyperlink" Target="https://ces.org.ua/tracker-economy-during-the-war/" TargetMode="External"/><Relationship Id="rId32" Type="http://schemas.openxmlformats.org/officeDocument/2006/relationships/image" Target="media/image2.png"/><Relationship Id="rId33" Type="http://schemas.openxmlformats.org/officeDocument/2006/relationships/hyperlink" Target="https://ri.proto.fund/data/a6-g11/" TargetMode="External"/><Relationship Id="rId34" Type="http://schemas.openxmlformats.org/officeDocument/2006/relationships/hyperlink" Target="https://www.slovoidilo.ua/2024/06/11/novyna/ekonomika/kse-pidraxuvaly-zbytky-enerhosektoru-ukrayiny-rosijskyx-atak" TargetMode="External"/><Relationship Id="rId35" Type="http://schemas.openxmlformats.org/officeDocument/2006/relationships/hyperlink" Target="https://ua-energy.org/uk/posts/kse-zbilshyla-otsinku-zbytkiv-ta-vtrat-enerhosektoru-ukrainy-do-56-mlrd" TargetMode="External"/><Relationship Id="rId36" Type="http://schemas.openxmlformats.org/officeDocument/2006/relationships/hyperlink" Target="https://tsn.ua/ukrayina/viyna-na-reykakh-chomu-ukrzaliznytsia-stala-odniyeiu-z-holovnykh-misheney-rosiyi-2987825.html" TargetMode="External"/><Relationship Id="rId37" Type="http://schemas.openxmlformats.org/officeDocument/2006/relationships/hyperlink" Target="https://rubryka.com/2026/01/24/yevrokomisiya-ta-ukrayina-uzgodyly-podalshi-kroky-dlya-rozvytku-logistyky-na-dunayi/" TargetMode="External"/><Relationship Id="rId38" Type="http://schemas.openxmlformats.org/officeDocument/2006/relationships/hyperlink" Target="https://cfts.org.ua/news/2024/01/24/v_ukranskikh_portakh_v_2023_rotsi_perevaleno_62_mln_tonn_vantazhiv_77945" TargetMode="External"/><Relationship Id="rId39" Type="http://schemas.openxmlformats.org/officeDocument/2006/relationships/hyperlink" Target="https://mindev.gov.ua/news/morski-porty-ukrainy-u-2025-rotsi-vykonaly-plan-perevalky-bilsh-nizh-na-95-popry-intensyvni-ataky-na-infrastrukturu" TargetMode="External"/><Relationship Id="rId40" Type="http://schemas.openxmlformats.org/officeDocument/2006/relationships/hyperlink" Target="https://www.ukrinform.ua/rubric-vidbudova/3700927-logisticna-skladova-povoennogo-vidnovlenna-pidhodi-ta-posuk-resursiv.html" TargetMode="External"/><Relationship Id="rId41" Type="http://schemas.openxmlformats.org/officeDocument/2006/relationships/hyperlink" Target="https://bank.gov.ua/admin_uploads/article/FSR_2025-H1_eng.pdf" TargetMode="External"/><Relationship Id="rId42" Type="http://schemas.openxmlformats.org/officeDocument/2006/relationships/hyperlink" Target="https://bank.gov.ua/en/markets/liberaliz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