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 w:after="200"/>
        <w:jc w:val="left"/>
      </w:pPr>
      <w:r>
        <w:rPr>
          <w:rFonts w:ascii="Arial" w:hAnsi="Arial" w:eastAsia="Arial"/>
          <w:b/>
          <w:i w:val="0"/>
          <w:color w:val="000000"/>
          <w:sz w:val="56"/>
        </w:rPr>
        <w:t>Людський капітал України: трудова база, міграція і продуктивна спроможність до 2035 року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У людському капіталі вже видно межу між адаптацією і новим циклом зростання. [1] Далі вирішальними стають швидкість виконання, ціна затримки і здатність утримувати матеріальний результат під воєнним тиском.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Державні рішення тут одночасно працюють з бюджетним обмеженням, безпековим ризиком і потребою зберегти довший горизонт дії. [2] Від цього залежить, які кроки дають короткий ефект, а які створюють нову спроможність на роки вперед.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Капітал заходить туди, де видно керований контур виконання, межу ризику і шлях повернення грошей. [3]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Фахівці, підприємці, виробничі команди і люди, що повертаються до цивільної економіки, шукають робочу базу, стабільний дохід, сучасні виробництва і зрозумілу перспективу професійної реалізації. [4] На цьому тримається довший кадровий ресурс для зростання.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Воєнний горизонт лишається над усією економічною рамкою. [5] Країна одночасно тримає фронт, підтримує тил, готує повернення військових до цивільного життя і шукає ресурс для нового циклу розвитку, тому далі важливо побачити керовані точки зміни.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Історичний контур</w:t>
      </w:r>
    </w:p>
    <w:p>
      <w:pPr>
        <w:jc w:val="both"/>
      </w:pPr>
      <w:r>
        <w:rPr>
          <w:rFonts w:ascii="Arial" w:hAnsi="Arial" w:eastAsia="Arial"/>
          <w:b w:val="0"/>
          <w:i/>
          <w:color w:val="000000"/>
          <w:sz w:val="24"/>
        </w:rPr>
        <w:t>Історичний контур у цьому дослідженні проходить через п'ять станів - отримали (Get), зберегли (Keep), досягли (Achieved), втратили (Lost), виправляємо (Fix). Через них видно, з якої бази країна переходить до кроку дії - Act.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Старт незалежності у людському капіталі був спадкоємністю великого радянського виробничого контуру. [6] Україна отримала інфраструктуру, інженерні школи й промислові ланцюги, які створювали високу фізичну потужність і водночас несли в собі планову логіку без ринкової дисципліни та з майбутньою вразливістю до непрозорої приватизації. До 2014 року країна зберегла ядро цього контуру у людському капіталі, проте перехід до справедливих правил, прозорого капіталу та нижчої залежності від Росії залишився незавершеним. У кризу сектор увійшов із нереформованими інститутами, великою роллю неформальних практик і слабким довгим горизонтом інвестицій.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Після першого воєнного шоку та до 2021 року сектор у людському капіталі досягнув відносної стабілізації. [7] Ця адаптація спиралася передусім на наявні потужності, зовнішню кон’юнктуру та відкладені структурні компроміси, тоді як модернізація держави й ринку залишалася неповною. У 2022 році повномасштабне вторгнення зламало цей баланс: фізичні активи, логістика, трудові ресурси й регіональні зв’язки увійшли у фазу виживання. Водночас почалося глибоке переналаштування на ЄС і США, а також перегляд ролі оборонної, гуманітарної та антикризової державної машини. На старті 2025-</w:t>
      </w:r>
      <w:hyperlink r:id="rId9">
        <w:r>
          <w:rPr>
            <w:rFonts w:ascii="Arial" w:hAnsi="Arial" w:eastAsia="Arial"/>
            <w:sz w:val="24"/>
            <w:color w:val="0000EE"/>
            <w:u w:val="single"/>
          </w:rPr>
          <w:t>2026 років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у людському капіталі вже видно мінімальне ядро для нового циклу зростання: цифрові сервіси, сильніший зовнішній нагляд, повільне, але реальне посилення антикорупційних правил, а також секторні сигнали, що дають матеріал для політичних пакетів і рішень про капітал.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Демографічна база перед повномасштабною війною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Україна увійшла у 2022 рік із демографічною базою, яка вже була звуженою порівняно з початком 1990-х. [8] Офіційна статистична рамка населення використовується тут як довгий індикатор тренду: скорочення від приблизно </w:t>
      </w:r>
      <w:hyperlink r:id="rId10">
        <w:r>
          <w:rPr>
            <w:rFonts w:ascii="Arial" w:hAnsi="Arial" w:eastAsia="Arial"/>
            <w:sz w:val="24"/>
            <w:color w:val="0000EE"/>
            <w:u w:val="single"/>
          </w:rPr>
          <w:t>52 млн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осіб на початку 1990-х до близько 41,1 млн у 2021 році формує нижчу стартову базу для будь-якої індустріальної програми.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Цей довгий спад означає, що кадрова проблема не почалася з одного воєнного року. [9] Старіння, нижча народжуваність, довоєнна трудова міграція і регіональне виснаження молодших когорт поступово зменшували кількість людей, які можуть швидко зайти у виробництво, навчитися новій спеціальності або перейти між регіонами без великих соціальних витрат.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демографічні індикатори ООН важливі як зовнішня перевірка довгого тренду. [10] Вони не замінюють національну статистику, але дають порівняльний міжнародний контекст для вікової структури, природного руху населення і майбутньої трудової бази.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Вона складається з людей, які фізично перебувають у країні, можуть працювати, мають відповідну кваліфікацію, прив’язані до місця роботи або здатні змінити регіон, а також отримують достатню зарплату для утримання сім’ї. [11]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До 2022 року частина цього ресурсу вже працювала за кордоном. [12] Трудова міграція підтримувала домогосподарства переказами й досвідом, але водночас зменшувала кількість людей, доступних для українських підприємств.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Передвоєнна демографічна база створила обмеження для швидкого масштабування виробництва. [13] Коли підприємство отримує замовлення або обладнання, результат залежить від того, чи є оператори, електрики, технологи, зварювальники, водії, ремонтники і менеджери зміни. Без цих людей капітальні вкладення перетворюються на довший запуск.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На горизонті </w:t>
      </w:r>
      <w:hyperlink r:id="rId11">
        <w:r>
          <w:rPr>
            <w:rFonts w:ascii="Arial" w:hAnsi="Arial" w:eastAsia="Arial"/>
            <w:sz w:val="24"/>
            <w:color w:val="0000EE"/>
            <w:u w:val="single"/>
          </w:rPr>
          <w:t>2030-2035 років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демографія працює як інерційний фактор. [14] Навіть за кращої безпекової ситуації країна не може швидко створити нові вікові когорти. Тому рішення 2026-2028 років повинні працювати з наявними людьми: повертати, утримувати, перекваліфіковувати, включати резерви участі і підвищувати продуктивність кожної години праці.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Демографічний аналіз для цього розділу навмисно відокремлений від ширшої соціальної оцінки. [15] Тут населення читається як виробничий ресурс, що має географію, кваліфікацію, вартість утримання і здатність працювати у конкретних ланцюгах створення вартості.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Базовий висновок першої секції такий: [16] людський капітал є попередньою умовою промислової політики. Сировина, енергія, обладнання, кредит і зовнішній попит дають ефект лише тоді, коли в країні залишається достатній кадровий контур для виконання робіт, обслуговування технологій і передачі навичок між поколіннями.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Довгострокова демографічна база також визначає межу для професійної освіти. [17] Якщо молодші когорти менші, система не може нескінченно нарощувати випуск робітничих і технічних кадрів без конкуренції між університетами, професійними коледжами, армією, бізнесом і зовнішніми ринками праці. UN Population Portal дає зовнішній демографічний контекст для такої оцінки.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Публічна статистика населення має використовуватися обережно. [18] Держстат фіксує офіційні ряди населення і міграції, але фактична доступність праці після 2022 року залежить від контрольованої території, переміщення, мобільності, стану здоров’я і можливості працювати. Тому в цьому розділі населення не ототожнюється автоматично з робочою силою.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Для індустріального планування важливий коефіцієнт перетворення населення на продуктивну зайнятість. [19] Він залежить від участі у ринку праці, рівня навичок, регіональної доступності, стану інфраструктури і заробітної пропозиції. Саме цей коефіцієнт визначає, скільки людей може реально підтримувати виробничий цикл.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Демографічний спад підвищує ціну помилок у кадровій політиці. [20] Якщо людина виїхала, втратила навичку або перейшла у сектор із нижчою продуктивністю, країна втрачає не лише один робочий день. Вона втрачає досвід, наставництво, податки, виробничу дисципліну і здатність навчати наступних працівників.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У довгій перспективі промислова політика повинна працювати з трьома шарами демографії: [21] наявні дорослі, молодь, яка входить у професію, і діти, що визначають трудову базу після 2035 року. Перший шар дає швидкий ефект, другий формує модернізацію, третій визначає стійкість.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Окрема проблема полягає у різниці між загальною чисельністю населення і населенням, доступним для роботи в промисловості. [22] Загальний показник може включати людей поза ринком праці, людей у регіонах без відповідних вакансій, людей із потребою догляду та людей із навичками, які не відповідають новій структурі попиту.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Для коректного планування потрібні щонайменше три демографічні шари: [23] постійне населення, фактично присутнє населення і економічно доступна робоча сила. Держстат дає основу для першого шару, а міграційні та трудові джерела уточнюють другий і третій.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Демографічна слабкість також змінює вимоги до інституцій. [24] Якщо молодших працівників менше, служби зайнятості, професійна освіта, роботодавці і громади повинні працювати швидше, щоб не втрачати людей у неактивність, міграцію або роботу нижче кваліфікації.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Довоєнна демографія також визначала якість управлінської пам’яті підприємств. [25]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Для державної політики показує потребу у програмах передачі навичок між поколіннями. [26] Такі програми дешевші за втрату виробничих компетенцій і повторне навчання з нуля, особливо у галузях із довгим циклом підготовки.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Зовнішня міграція і межа повернення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Зовнішня міграція після 2022 року перетворила довоєнний кадровий дефіцит на стратегічне обмеження. [27] Eurostat фіксує </w:t>
      </w:r>
      <w:hyperlink r:id="rId12">
        <w:r>
          <w:rPr>
            <w:rFonts w:ascii="Arial" w:hAnsi="Arial" w:eastAsia="Arial"/>
            <w:sz w:val="24"/>
            <w:color w:val="0000EE"/>
            <w:u w:val="single"/>
          </w:rPr>
          <w:t>4,40 млн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осіб під тимчасовим захистом у ЄС станом на 28 лютого 2026 року; цей показник є однією з найважливіших кількісних точок для оцінки потенційного повернення робочої сили.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Тимчасовий захист не дорівнює остаточній еміграції. [28] Частина людей зберігає житло, родинні зв’язки, бізнес або намір повернення. Водночас тривалість перебування за кордоном поступово змінює економічну поведінку: діти входять у місцеві школи, дорослі отримують роботу, домогосподарства адаптуються до нових ринків праці.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дослідження українських біженців після трьох років за кордоном важливе для промислової політики, бо воно переводить повернення з моральної категорії у практичну: [29] люди порівнюють безпеку, доходи, освіту дітей, житло, медичний доступ і перспективу професійного розвитку.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UNHCR Ukraine Situation дає ширший гуманітарний і міграційний контекст. [30]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Промисловий наслідок зовнішньої міграції проявляється через втрату швидкого кадрового резерву. [31] Підприємство не може планувати зміну, цех або сервісну команду на основі абстрактної чисельності населення. Воно потребує конкретних людей у конкретному місці, з конкретним набором навичок і готовністю працювати за конкретною зарплатою.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Повернення людей залежить від якості робочої пропозиції в Україні. [32] Якщо після повернення людина бачить лише низькооплачувану роботу без житла, дитячих сервісів і прогнозованої безпеки, економічна мотивація слабшає. Якщо ж робоче місце пов’язане з навчанням, кар’єрним ростом, стабільною зарплатою і локальною інфраструктурою, повернення стає частиною виробничої політики.</w:t>
      </w:r>
    </w:p>
    <w:p>
      <w:pPr>
        <w:jc w:val="both"/>
      </w:pPr>
      <w:hyperlink r:id="rId13">
        <w:r>
          <w:rPr>
            <w:rFonts w:ascii="Arial" w:hAnsi="Arial" w:eastAsia="Arial"/>
            <w:sz w:val="24"/>
            <w:color w:val="0000EE"/>
            <w:u w:val="single"/>
          </w:rPr>
          <w:t>OECD Economic Survey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>: Ukraine 2025 підкреслює структурну природу відновлення: людський капітал, інституційна спроможність і продуктивність визначають темп економічного наближення до ЄС. [33]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Для промислових регіонів повернення має територіальний вимір. [34] Люди можуть повернутися в Україну, але не в той населений пункт, де раніше працювали. Виробництво може відновлюватися в одному регіоні, а житлова і шкільна доступність концентруватися в іншому. Такий невідповідність зменшує реальний ефект від повернення.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Управлінський висновок полягає у потребі створити пакет повернення до роботи. [35] Він має поєднувати інформацію про вакансії, підтвердження кваліфікацій, швидку перекваліфікацію, житлові рішення, шкільні місця, медичний доступ і зрозумілий маршрут від перетину кордону до першого продуктивного робочого дня.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Зовнішня міграція має часову асиметрію. [36] Виїзд відбувається швидко, а повернення потребує безпеки, житла, доходів, шкіл, документів і довіри до майбутнього. Eurostat temporary protection statistics дає вимір масштабу, але рішення про повернення формується на рівні домогосподарства.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Політика повернення має бути сегментованою. [37] Для працівника з технічною освітою потрібен один маршрут, для матері з дітьми - інший, для студента - третій, для підприємця - четвертий. Один загальний заклик не створює достатньої економічної мотивації для всіх груп.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Для виробництва показує потребу в постійному каналі зв’язку з людьми за кордоном. [38]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Підприємства можуть брати участь у поверненні напряму. [39] Вони можуть пропонувати дистанційні співбесіди, попередні контракти, компенсацію релокації, навчальні модулі до повернення, визнання іноземного досвіду і партнерство з громадами, які прийматимуть сім’ї.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Навіть якщо людина не повертається негайно, вона може бути частиною мережі постачання знань, замовлень, експорту, інвестицій і професійної менторської підтримки. [40] Це не замінює повернення, але зменшує втрату продуктивного зв’язку.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Ризик довгого неповернення стає більшим, коли українська пропозиція слабко відрізняється від довоєнної. [41] Повернення до старої низької зарплати, поганого житла і непередбачуваної школи не конкурує з інтегрованим життям у ЄС. Повернення до модернізованого робочого місця має значно сильніший шанс.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Eurostat створює кількісний орієнтир масштабу зовнішнього переміщення, але управлінський зміст цього числа залежить від сегментації за віком, професією, країною перебування, сімейним статусом і силою зв’язку з Україною. [42]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Промислова політика може використовувати українські громади за кордоном як канал професійного залучення. [43] Це можуть бути ярмарки вакансій, контракти з відкладеним стартом, навчання до повернення, професійні клуби і програми для дітей, які зберігають зв’язок з українською технічною освітою.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Підприємство, яке не бачить людей, відкладає модернізацію; [44] працівник, який не бачить модернізації, відкладає повернення. Цей замкнений контур потрібно розривати одночасною пропозицією роботи і майбутнього.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Тому програма повернення повинна працювати з роботодавцями як із партнерами. [45] Якщо підприємства не готові показати реальну вакансію, зарплату, графік, умови навчання і місце проживання, загальна державна комунікація не створить достатнього продуктивного повернення.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Профіль мігрантів, кваліфікації і ризик довгого неповернення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Профіль зовнішніх мігрантів визначає якість майбутнього повернення. [46]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Centre for Economic Strategy аналізує українських біженців після трьох років за кордоном як групу, що поступово переходить від тимчасової адаптації до довших життєвих рішень. [47] Це створює часову межу для політики повернення: чим довше триває інтеграція за кордоном, тим дорожче і складніше повернути кваліфікований ресурс.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Кваліфікаційний профіль міграції може бути особливо чутливим для промисловості. [48] Якщо з країни виїжджають люди працездатного віку з технічними, управлінськими, медичними, освітніми або цифровими навичками, втрата проявляється не лише у кількості робочих рук. Вона скорочує здатність підприємств навчати інших, запускати нові технології і вести якісний контроль.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Довге неповернення створює ефект подвійної втрати. [49] Україна втрачає поточну працю і майбутню продуктивність дітей, які отримують освіту за кордоном і можуть входити в інший ринок праці. Для горизонту 2035 року показує менший потенціал молодших когорт у виробничій, інженерній та сервісній економіці.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UN Population Portal дає змогу тримати вікову і демографічну перспективу поруч із міграційними оцінками. [50] Якщо повертальна політика концентрується лише на дорослих працівниках, вона пропускає довшу проблему майбутніх вступників до професійної освіти, університетів і технічних коледжів.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Промислова пропозиція для повернення повинна відрізнятися від загальної інформаційної кампанії. [51]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Ризик довгого неповернення зменшується, коли Україна пропонує професійний розвиток, а не лише повернення до довоєнної позиції. [52] Для інженерів, технологів, операторів обладнання, аграрних спеціалістів, будівельників і медичних працівників важливий шлях кар’єрного зростання в модернізованій економіці.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Відсутність такого шляху створює приховану втрату. [53] Людина може залишатися громадянином України, підтримувати родину, інвестувати в житло і водночас не бути частиною українського виробництва. Для промислової статистики показує розрив між юридичною належністю і реальною доступністю праці.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Секторальні програми повернення повинні враховувати, що різні галузі потребують різної швидкості входу. [54] Будівництво може швидко залучати робітничі спеціальності після короткої підготовки, машинобудування і хімія потребують довшої технічної дисципліни, енергетика потребує безпекової і регуляторної підготовки, агропереробка потребує сезонної й логістичної координації.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Кваліфікаційна структура міграції потребує реєстру навичок, а не лише обліку людей. [55] Якщо держава знає країну перебування, але не знає професію, досвід, готовність повернення і бар’єри входу в роботу, вона не може будувати точні програми для промислових секторів.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дослідження CES щодо біженців дає підставу розглядати українців за кордоном як неоднорідну групу з різними намірами, ресурсами і ризиками довгого перебування. [1] Тому однакова комунікація для всіх біженців має нижчу ефективність.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Освітній профіль мігрантів створює і втрату, і можливість. [2] Втрата полягає у невикористанні навичок в Україні. Можливість полягає у тому, що частина людей здобуває новий досвід, мови, стандарти якості і професійні зв’язки, які можуть підсилити українські підприємства після повернення.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Промислова політика повинна працювати з кваліфікацією до моменту повернення. [3] Онлайн-курси, підтвердження професій, короткі технічні модулі і дистанційний контакт з роботодавцем можуть скоротити період між поверненням і продуктивною роботою.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Для молодших груп ключовим є збереження зв’язку з українською освітньою і професійною траєкторією. [4] Якщо дитина або студент повністю вбудовується в іншу систему і не бачить сучасної української кар’єри, економіка втрачає майбутній кадровий ресурс.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Профіль міграції також впливає на регіони. [5] Якщо люди з промислових громад осідають за кордоном або в інших областях, повернення виробництва у довоєнній локації потребує окремої кадрової стратегії, а не лише відновлення будівель і обладнання.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Профіль мігрантів має бути включений у регіональні стратегії. [7] Якщо область планує індустріальний парк або відновлення підприємства, вона повинна знати, скільки людей потрібних професій перебуває за кордоном, у яких країнах і за яких умов вони можуть повернутися.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CES допомагає трактувати біженців як групу з різними довгими рішеннями, а не як тимчасову статистичну масу. [19] Це важливо для формування різних пакетів повернення для працівників, студентів, підприємців і сімей з дітьми.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Професійний ризик довгого неповернення посилюється для спеціалістів, які швидко інтегруються у дефіцитні ринки ЄС. [28] Інженери, медики, техніки, цифрові фахівці та кваліфіковані робітники мають вищу ймовірність отримати стабільну пропозицію за кордоном.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Людина повертається охочіше, коли бачить, що її навички потрібні у сучасній економіці, а не тільки в режимі тимчасового виживання. [10]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Кваліфікаційна політика має враховувати, що частина мігрантів уже змінила професію за кордоном. [11] Для України це може бути втратою старої спеціальності, але й шансом отримати нову компетенцію, якщо повернення організоване через визнання досвіду і швидкий вхід у сектор.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Найбільший ризик виникає там, де Україна не підтримує зв’язок із людьми протягом кількох років. [12] Без регулярної професійної комунікації людина поступово перестає бачити себе частиною українського виробничого майбутнього, навіть якщо емоційний зв’язок із країною зберігається.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Внутрішнє переміщення і регіональний розрив між людьми та роботою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Внутрішнє переміщення створює інший тип кадрового розриву. [8] Люди перебувають у країні, але часто не там, де розташовані робочі місця, промислові майданчики, професійні школи або житло для сімей. IOM оцінює </w:t>
      </w:r>
      <w:hyperlink r:id="rId10">
        <w:r>
          <w:rPr>
            <w:rFonts w:ascii="Arial" w:hAnsi="Arial" w:eastAsia="Arial"/>
            <w:sz w:val="24"/>
            <w:color w:val="0000EE"/>
            <w:u w:val="single"/>
          </w:rPr>
          <w:t>3,757 млн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de facto ВПО і 4,137 млн повернених у 2025 році.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Дані про ВПО і повернених показують, що людський капітал після переміщення не зникає, але змінює географію. [13] Для підприємств показує нові витрати на пошук працівників, адаптацію, транспорт, житло, соціальні сервіси і взаємодію з громадами.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частка ВПО, переміщених понад два роки становить </w:t>
      </w:r>
      <w:hyperlink r:id="rId14">
        <w:r>
          <w:rPr>
            <w:rFonts w:ascii="Arial" w:hAnsi="Arial" w:eastAsia="Arial"/>
            <w:sz w:val="24"/>
            <w:color w:val="0000EE"/>
            <w:u w:val="single"/>
          </w:rPr>
          <w:t>66%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у графічній картці; [9] цей сигнал показує, що значна частина внутрішньої мобільності вже стала довгою, а не короткою реакцією на шок.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Довге переміщення змінює структуру навичок у регіонах. [6] Приймаючі громади можуть отримувати нових фахівців, але без інструментів узгодження вони не завжди входять у роботу за кваліфікацією. Громади походження можуть втрачати людей навіть після часткового відновлення безпеки.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Повернені також не є однорідною групою. [15] Частина повертається до старого житла і роботи, частина повертається в інший регіон, частина повертається без повної впевненості в майбутньому. Для промислової політики важливо, щоб повернення означало включення у виробництво, а не лише фізичну присутність.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RDNA4 і RDNA5 дають ширшу рамку відновлення, у якій житло, інфраструктура, послуги та економічна активність пов’язані між собою. [21] Для людського капіталу показує, що робоче місце без житлової й сервісної рамки не створює повної продуктивної спроможності.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Регіональний невідповідність виникає тоді, коли підприємства мають вакансії, а люди не можуть їх прийняти через відстань, житло, школу, догляд за родичами або транспорт. [16] Такий бар’єр не видно в загальній чисельності населення, але він прямо впливає на запуск зміни, виконання контракту і здатність масштабувати виробництво.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ВПО можуть стати важливим продуктивним резервом, якщо політика поєднає реєстри навичок, професійну орієнтацію, мікрологістику, житло біля робочих місць і стимул для підприємств навчати людей на місці. [18] Без такого механізму частина людського капіталу лишається економічно недовикористаною.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Для горизонту до 2035 року внутрішнє переміщення слід читати як нову карту трудової доступності. [20]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Внутрішнє переміщення потребує поєднання гуманітарної і виробничої карти. [22] IOM displacement tracking показує масштаби ВПО і повернених, але для економіки наступним кроком є карта навичок, житла, транспорту, шкіл і вакансій.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Приймаючі громади можуть отримати новий людський капітал, але без узгодження з роботодавцями цей ресурс часто недовикористаний. [14] Людина може мати досвід бухгалтера, технолога або механіка, але працювати нижче кваліфікації через відсутність локального каналу входу.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Виробництво тримається на групах людей, які знають обладнання, стандарти, ризики і взаємодію. [23] Розпад команди може бути дорожчим за втрату одиничного робочого місця.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RDNA4 і RDNA5 показують, що відновлення житла, інфраструктури і економіки взаємопов’язане. [29] Це прямо стосується ВПО: робоче місце без доступного житла і послуг не створює стійкого повернення до продуктивної зайнятості.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Підприємства можуть працювати з ВПО через короткі центри оцінювання, професійну пробу, наставництво, часткову компенсацію оренди і транспорт. [24] Такі рішення дешевші за довгий дефіцит кадрів і втрату контрактів.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Внутрішня мобільність також створює підставу для нових кластерів. [25] Якщо люди не повертаються в старі промислові локації, частина виробництва може зміщуватися ближче до нової трудової карти. Це потребує обережності, але ігнорування нової географії людей зменшує ефективність відновлення.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Внутрішня міграція змінює ринок житла і робочих поїздок. [26] Якщо підприємство знаходиться далеко від доступного житла, воно фактично має нижчу кадрову пропозицію, навіть якщо в області живе достатньо людей.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IOM дає вихідні показники ВПО і повернених, але промислова політика повинна перетворити ці показники на практичні карти: [17] навички, мобільність, сімейні обмеження, доступ до шкіл і готовність працювати у конкретній громаді.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Громади можуть конкурувати за людей, але ефективнішим є міжмуніципальне узгодження. [27] Якщо житло є в одній громаді, виробництво в іншій, а професійна школа в третій, потрібна транспортна і сервісна рамка, що з’єднує ці точки.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Це дозволяє швидше знаходити людей для підприємств, не порушуючи приватність і не перетворюючи допомогу на бюрократичний бар’єр. [30]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Внутрішньо переміщена людина часто має кілька одночасних обмежень: [31] житло, документи, школа, транспорт, психологічна втома, догляд за родиною і потреба швидкого доходу. Роботодавець, який бачить лише резюме, не завжди розуміє повну вартість входу цієї людини в роботу.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Практична політика для ВПО повинна зменшувати саме цю вартість входу. [32] Її елементи - профіль навичок, коротке навчання, перша робота, житлова підтримка, транспорт і супровід протягом перших місяців. Це створює вищу ймовірність стабільної продуктивної зайнятості.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Ринок праці 2024-2025: участь, дефіцит кадрів і перерозподіл зайнятості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Ринок праці 2024-2025 років показує одночасну наявність людей і дефіцит потрібних працівників. [34] IOM / ReliefWeb оцінює участь дорослих 18-60 у роботі через зайнятість і самозайнятість: </w:t>
      </w:r>
      <w:hyperlink r:id="rId15">
        <w:r>
          <w:rPr>
            <w:rFonts w:ascii="Arial" w:hAnsi="Arial" w:eastAsia="Arial"/>
            <w:sz w:val="24"/>
            <w:color w:val="0000EE"/>
            <w:u w:val="single"/>
          </w:rPr>
          <w:t>58%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зайнятих та 11% самозайнятих дорослих, разом 69%.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Участь дорослого населення у ринку праці, 2025 фіксує рух показника від Employed adults 18-60 до Total employed/self-employed adults 18-60: [11] значення змінюється з 58,0 до 69,0. Це показує, як темп сектора визначається доступною працею не менше, ніж технікою або будівлями.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580000" cy="315338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1_B1-G04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15338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/>
      <w:r>
        <w:rPr>
          <w:rFonts w:ascii="Arial" w:hAnsi="Arial" w:eastAsia="Arial"/>
          <w:b w:val="0"/>
          <w:i w:val="0"/>
          <w:color w:val="000000"/>
          <w:sz w:val="22"/>
        </w:rPr>
        <w:t>Графік 1. Участь дорослого населення у ринку праці, 2025</w:t>
      </w:r>
      <w:r>
        <w:rPr>
          <w:rFonts w:ascii="Arial" w:hAnsi="Arial" w:eastAsia="Arial"/>
          <w:b w:val="0"/>
          <w:i w:val="0"/>
          <w:color w:val="000000"/>
          <w:sz w:val="22"/>
        </w:rPr>
        <w:t xml:space="preserve"> [11]</w:t>
      </w:r>
      <w:hyperlink r:id="rId17">
        <w:r>
          <w:rPr>
            <w:rFonts w:ascii="Arial" w:hAnsi="Arial" w:eastAsia="Arial"/>
            <w:sz w:val="22"/>
            <w:color w:val="0000EE"/>
            <w:u w:val="single"/>
          </w:rPr>
          <w:t> B1-G04</w:t>
        </w:r>
      </w:hyperlink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580000" cy="314850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1_B1-G06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1485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/>
      <w:r>
        <w:rPr>
          <w:rFonts w:ascii="Arial" w:hAnsi="Arial" w:eastAsia="Arial"/>
          <w:b w:val="0"/>
          <w:i w:val="0"/>
          <w:color w:val="000000"/>
          <w:sz w:val="22"/>
        </w:rPr>
        <w:t>Графік 2. Перерозподіл зайнятості до оборони і держуправління</w:t>
      </w:r>
      <w:r>
        <w:rPr>
          <w:rFonts w:ascii="Arial" w:hAnsi="Arial" w:eastAsia="Arial"/>
          <w:b w:val="0"/>
          <w:i w:val="0"/>
          <w:color w:val="000000"/>
          <w:sz w:val="22"/>
        </w:rPr>
        <w:t xml:space="preserve"> [12]</w:t>
      </w:r>
      <w:hyperlink r:id="rId19">
        <w:r>
          <w:rPr>
            <w:rFonts w:ascii="Arial" w:hAnsi="Arial" w:eastAsia="Arial"/>
            <w:sz w:val="22"/>
            <w:color w:val="0000EE"/>
            <w:u w:val="single"/>
          </w:rPr>
          <w:t> B1-G06</w:t>
        </w:r>
      </w:hyperlink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Цей показник важливий для промислової політики, бо він відділяє демографічну чисельність від фактичної трудової участі. [35] Частина дорослих не працює через догляд, навчання, безпеку, здоров’я, переміщення, брак робочих місць або неформальність.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Дефіцит кадрів і промислова зайнятість фіксує рух показника від Бізнеси з труднощами найму до Працівники держуправління й оборони: [12] значення змінюється з 63,0 до 2,60. Це показує, як темп сектора визначається доступною працею не менше, ніж технікою або будівлями.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580000" cy="314850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1_B1-G05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1485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/>
      <w:r>
        <w:rPr>
          <w:rFonts w:ascii="Arial" w:hAnsi="Arial" w:eastAsia="Arial"/>
          <w:b w:val="0"/>
          <w:i w:val="0"/>
          <w:color w:val="000000"/>
          <w:sz w:val="22"/>
        </w:rPr>
        <w:t>Графік 3. Дефіцит кадрів і промислова зайнятість</w:t>
      </w:r>
      <w:r>
        <w:rPr>
          <w:rFonts w:ascii="Arial" w:hAnsi="Arial" w:eastAsia="Arial"/>
          <w:b w:val="0"/>
          <w:i w:val="0"/>
          <w:color w:val="000000"/>
          <w:sz w:val="22"/>
        </w:rPr>
        <w:t xml:space="preserve"> [12]</w:t>
      </w:r>
      <w:hyperlink r:id="rId21">
        <w:r>
          <w:rPr>
            <w:rFonts w:ascii="Arial" w:hAnsi="Arial" w:eastAsia="Arial"/>
            <w:sz w:val="22"/>
            <w:color w:val="0000EE"/>
            <w:u w:val="single"/>
          </w:rPr>
          <w:t> B1-G05</w:t>
        </w:r>
      </w:hyperlink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IFC прямо називає severe labor shortages серед ризиків відбудови. [36]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KSE Human Capital Chartbook 2025 фіксує, що </w:t>
      </w:r>
      <w:hyperlink r:id="rId22">
        <w:r>
          <w:rPr>
            <w:rFonts w:ascii="Arial" w:hAnsi="Arial" w:eastAsia="Arial"/>
            <w:sz w:val="24"/>
            <w:color w:val="0000EE"/>
            <w:u w:val="single"/>
          </w:rPr>
          <w:t>63%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бізнесів мали труднощі з наймом у 2024 році, а зайнятість у промисловості скоротилася на 37% порівняно з 2021 роком. [51]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Промисловий дефіцит кадрів часто виникає навіть там, де безробіття або неповна зайнятість залишаються видимими. [37] Причина полягає у невідповідності навичок, локації, зарплати, безпекових умов і графіка роботи. Людина може бути економічно активною, але не готовою зайти у змінний режим, важку фізичну працю або технічно складне виробництво.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частка держуправління й оборони у загальній зайнятості зросла з </w:t>
      </w:r>
      <w:hyperlink r:id="rId23">
        <w:r>
          <w:rPr>
            <w:rFonts w:ascii="Arial" w:hAnsi="Arial" w:eastAsia="Arial"/>
            <w:sz w:val="24"/>
            <w:color w:val="0000EE"/>
            <w:u w:val="single"/>
          </w:rPr>
          <w:t>14,4%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у 2021 році до 23,8% у 2024 році. [38] Цей перерозподіл є зрозумілою воєнною реакцією, але він зменшує доступний цивільний кадровий контур для частини промислових секторів.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Перерозподіл праці створює конкуренцію за людей між оборонними потребами, державним сектором, критичною інфраструктурою, приватним виробництвом і відбудовою. [39] У такій ситуації кадрова політика не може обмежуватися вакансіями. Вона потребує пріоритетів, резервування критичних спеціальностей, швидкого навчання і кращої інформації про попит.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Для ключових виробничих галузей кадровий дефіцит має різний профіль. [40] Металургія потребує змінної технічної дисципліни, енергетика - аварійної готовності і регуляторної безпеки, хімія - технологічної точності, машинобудування - інженерної серійності, будівництво - швидкого масштабування робочих бригад, агропереробка - сезонної і логістичної координації.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Управлінський наслідок полягає у переході від загального ринку праці до карти критичних професій. [41]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Кадрова стеля </w:t>
      </w:r>
      <w:hyperlink r:id="rId24">
        <w:r>
          <w:rPr>
            <w:rFonts w:ascii="Arial" w:hAnsi="Arial" w:eastAsia="Arial"/>
            <w:sz w:val="24"/>
            <w:color w:val="0000EE"/>
            <w:u w:val="single"/>
          </w:rPr>
          <w:t>2024-2025 років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показує, що навіть за наявності попиту і капіталу відновлення може впиратися у людей. [42]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Показник участі у роботі не розкриває якості зайнятості. [43] IOM / ReliefWeb оцінює робочу участь дорослих, але продуктивна спроможність залежить від того, чи ця праця формальна, стабільна, пов’язана з навичками і створює додану вартість.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KSE Human Capital Chartbook важливий тим, що поєднує кадрові труднощі бізнесу зі структурними змінами зайнятості. [55]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Дефіцит кадрів у виробництві часто має каскадний ефект. [44] Брак одного майстра затримує роботу бригади; брак інженера затримує запуск лінії; брак логіста затримує поставку; брак бухгалтера з експортною компетенцією затримує контракт.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Державна служба зайнятості України може давати корисний сигнал роботодавців щодо професійного попиту. [45] Але цей сигнал має бути інтегрований у промислове планування, інакше він залишається окремою статистикою вакансій.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У воєнній економіці дефіцит кадрів посилюється безпековим фактором. [46] Працівник оцінює ризик дороги, робочого місця, житла, енергопостачання і майбутнього сім’ї. Тому навіть конкурентна зарплата може не закрити вакансію, якщо інші умови слабкі.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Для </w:t>
      </w:r>
      <w:hyperlink r:id="rId25">
        <w:r>
          <w:rPr>
            <w:rFonts w:ascii="Arial" w:hAnsi="Arial" w:eastAsia="Arial"/>
            <w:sz w:val="24"/>
            <w:color w:val="0000EE"/>
            <w:u w:val="single"/>
          </w:rPr>
          <w:t>2026-2030 років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найбільш практичним інструментом є регіональна карта critical skills українською мовою як карта критичних навичок. [48] Вона повинна поєднувати дані роботодавців, професійної освіти, ВПО, місцевої влади і великих інвестиційних проєктів.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Ринок праці у 2024-2025 роках має одночасно високу напругу і низьку видимість. [33] Частина праці переходить у неформальні, тимчасові або самозайняті формати, тому стандартні індикатори безробіття не показують повну картину для промисловості.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KSE дає кількісні сигнали для бізнес-дефіциту, промислової зайнятості і перерозподілу праці. [49] Такі сигнали слід використовувати для пріоритизації професійної освіти, а не лише для опису проблеми.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Дефіцит найму може бути симптомом низької продуктивності робочого місця. [50] Якщо підприємство не модернізує процеси, не дає нормальних інструментів і не управляє якістю, воно програє конкуренцію за людей навіть за формально відкритих вакансій.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Кадровий дефіцит потрібно вимірювати у строках затримки. [47] Наприклад, скільки днів потрібно закрити вакансію, скільки тижнів триває навчання, скільки місяців затримується запуск проєкту. Така метрика ближча до економічної ціни дефіциту.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Цей багатосторонній попит пояснює, чому стандартні методи найму дають слабший результат. [52]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Компанії, які мають внутрішні школи, наставників і чітку адаптацію, отримують перевагу. [53] Вони можуть брати людей із частково суміжними навичками і швидше вводити їх у виробництво.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580000" cy="313006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1_B1-G08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1300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/>
      <w:r>
        <w:rPr>
          <w:rFonts w:ascii="Arial" w:hAnsi="Arial" w:eastAsia="Arial"/>
          <w:b w:val="0"/>
          <w:i w:val="0"/>
          <w:color w:val="000000"/>
          <w:sz w:val="22"/>
        </w:rPr>
        <w:t>Графік 4. Ринок праці: населення, економічна активність, зайнятість, безробіття</w:t>
      </w:r>
      <w:r>
        <w:rPr>
          <w:rFonts w:ascii="Arial" w:hAnsi="Arial" w:eastAsia="Arial"/>
          <w:b w:val="0"/>
          <w:i w:val="0"/>
          <w:color w:val="000000"/>
          <w:sz w:val="22"/>
        </w:rPr>
        <w:t xml:space="preserve"> [13] [9] [8]</w:t>
      </w:r>
      <w:hyperlink r:id="rId27">
        <w:r>
          <w:rPr>
            <w:rFonts w:ascii="Arial" w:hAnsi="Arial" w:eastAsia="Arial"/>
            <w:sz w:val="22"/>
            <w:color w:val="0000EE"/>
            <w:u w:val="single"/>
          </w:rPr>
          <w:t> B1-G08</w:t>
        </w:r>
      </w:hyperlink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Мобілізаційний тиск, промислові спеціальності і критичне резервування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Мобілізаційний тиск є однією з найчутливіших меж між обороною і цивільним виробництвом. [54]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KSE chartbook показує зростання зайнятості у держуправлінні й обороні як структурний факт ринку праці. [1] Цей факт означає, що частина трудового ресурсу закономірно переміщена в безпековий сектор, тоді як цивільна економіка потребує точнішої кадрової координації.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Критичне резервування має спиратися на професії, а не лише на назви підприємств. [1] Оператор котельні, електромонтер, інженер-релейник, технолог хімічного виробництва, машиніст, зварювальник, наладчик ЧПК або фахівець із промислової автоматики можуть бути вузьким горлом для цілого виробничого циклу.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Підприємство може мати обладнання і замовлення, але один дефіцитний фахівець здатен затримати запуск лінії, ремонт підстанції, сертифікацію продукції або виконання експортного контракту. [1] карта критичних спеціальностей повинна бути частиною промислового планування.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НБУ в інфляційному звіті відстежує економічні умови, які впливають на ринок праці, зарплати й виробничі витрати. [1] Для цього розділу важливо, що макроекономічна стабільність не скасовує локального дефіциту людей у конкретних професіях.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Резервування критичних працівників має супроводжуватися відповідальністю підприємств. [1] Якщо працівник заброньований, компанія повинна забезпечувати навчання дублерів, підвищення безпеки, прозорість спеціальності, оновлення даних про кадрову потребу і реальний внесок у критичний виробничий контур.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Мобілізаційна межа також формує попит на заміщення праці технологіями. [1] Автоматизація, дистанційний моніторинг, цифрові інструкції, прогнозне технічне обслуговування і навчальні симулятори можуть зменшувати залежність від одиничних спеціалістів. Проте вони потребують часу і нових навичок, тому не замінюють кадрову політику миттєво.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Для </w:t>
      </w:r>
      <w:hyperlink r:id="rId12">
        <w:r>
          <w:rPr>
            <w:rFonts w:ascii="Arial" w:hAnsi="Arial" w:eastAsia="Arial"/>
            <w:sz w:val="24"/>
            <w:color w:val="0000EE"/>
            <w:u w:val="single"/>
          </w:rPr>
          <w:t>2026-2035 років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правильна мета полягає у створенні промислового кадрового резерву. [2] Він має включати списки критичних професій, короткі програми перепідготовки, регіональні центри навичок, базу наставників і механізм швидкого повернення людей у виробництво після служби або переміщення.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Ця секція зберігає межу з ширшою соціальною політикою. [1] Ветерани, сім’ї військових і мобілізовані працівники мають соціальний вимір, але тут вони розглядаються через виробничу функцію: як країна відновлює навички, робочі місця і продуктивність після довгого воєнного періоду.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Критичне резервування повинно бути прозорим для суспільства і прогнозованим для бізнесу. [1] Якщо правила часто змінюються, підприємства не можуть планувати навчання, заміну працівників і графік виконання замовлень.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Воєнний сектор і промисловість не повинні конкурувати хаотично за одних і тих самих людей. [1] Частина цивільних виробництв прямо підтримує оборону через енергію, ремонт, матеріали, логістику, харчування, будівництво і обладнання.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частка зайнятості у держуправлінні й обороні є кількісним сигналом структурного перерозподілу праці. [1]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Система дублерів є практичною відповіддю на мобілізаційний ризик. [1] Якщо кожна критична позиція має підготовленого дублера або команду, підприємство менше залежить від одного працівника і краще витримує непередбачувані кадрові зміни.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Автоматизація може зменшити тиск на окремі професії, але вона не працює без нових навичок. [1] Кожна інвестиція в цифровий контроль або роботизовану операцію створює попит на технічне обслуговування, програмування, дані і безпеку.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Критичне резервування повинно бути пов’язане з продуктивністю. [1] Якщо працівник бронюється як ключовий, підприємство повинно показувати, який виробничий процес залежить від нього, як готуються заміни і як зберігається внесок у економіку.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Критичні професії повинні мати різний рівень захисту залежно від системної ваги. [1] Не кожна вакансія є критичною, але деякі позиції підтримують цілі ланцюги енергії, ремонту, виробництва, харчування, транспорту або оборонної логістики.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Резервування працівників має бути пов’язане з навчанням дублерів. [1] Без цього система захищає поточну людину, але не створює стійкість. З дублерами підприємство отримує більшу гнучкість, а держава - менший ризик зупинки критичних процесів.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KSE дає сигнал про масштаб перерозподілу праці до державного управління й оборони. [1] Такий сигнал вимагає точних правил для тилових спеціальностей, які забезпечують економічну й оборонну стійкість одночасно.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Мобілізаційна політика має включати зворотний шлях працівника після служби. [1] Повернення в економіку потребує медичної оцінки, оновлення навичок, адаптації до нових технологій і часто нового професійного маршруту.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Критичне резервування також потребує цифрової дисципліни. [1] Дані про працівників, професії, дублерів і виробничі процеси повинні бути актуальними; застарілі списки створюють недовіру і слабко допомагають реальному виробництву.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Це слід планувати наперед, щоб досвід служби перетворився на економічну силу, а не на довгу паузу між армією і цивільним виробництвом. [1]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Зарплати, утримання працівників і конкуренція за продуктивність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дані про мінімальну зарплату в Україні показують гривневу динаміку, але для повернення і утримання працівників важливий також доларовий еквівалент, бо частина працівників порівнює українську пропозицію з іноземними ринками. [1]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У графічній картці мінімальна зарплата зростає у гривні, але доларовий еквівалент після 2021 року має воєнний розрив. [1] Для промислових підприємств показує, що номінальне підвищення не завжди достатнє для конкуренції з ринками ЄС, особливо для людей із технічними навичками.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зарплата грн' - 8 000. [1]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НБУ відстежує інфляційні та макроекономічні умови які впливають на реальні доходи, витрати бізнесу і зарплатну поведінку. [1]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Утримання працівників потребує поєднання зарплати, умов роботи і розвитку навичок. [1] Для робітничих і технічних професій важливі безпека, графік, інструменти, якість управління зміною, соціальна інфраструктура, можливість навчати молодших працівників і чіткий шлях підвищення кваліфікації.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Підприємства, які конкурують лише низькою зарплатою, отримують коротшу лояльність і вищу плинність. [1] У воєнній економіці це особливо дорого, бо заміна працівника включає пошук, перевірку, навчання, адаптацію до безпеки і втрату досвіду в команді.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Зарплатна політика для повернення біженців повинна враховувати іноземний орієнтир. [1] Навіть якщо Україна не може конкурувати з усіма зарплатами ЄС, вона може поєднувати роботу з житлом, навчанням, локальною спільнотою, кар’єрним ростом і участю у відбудові.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Для внутрішньо переміщених людей зарплата взаємодіє з орендою і транспортом. [1] Робоче місце може бути економічно непривабливим, якщо більша частина доходу йде на житло або дорогу. Тому регіональна політика людського капіталу має включати вартість життя, а не лише номінальний оклад.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Зарплати також визначають продуктивність через відбір кадрів. [1]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До 2035 року конкурентність України залежатиме від здатності збільшувати продуктивність, а не лише кількість працівників. [1] Вищі зарплати стають стійкими тоді, коли підприємства піднімають технологічний рівень, якість управління і додану вартість продукції.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Зарплатна конкуренція має два напрями: [1] всередині України між секторами і назовні з економіками ЄС. дані Мінфіну щодо мінімальної зарплати показують номінальну основу, але рішення працівника формується через реальний дохід і перспективу.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Продуктивний працівник залишається там, де обладнання працює, керівництво планує зміну, ризики пояснені, навчання доступне, а зарплата не руйнується інфляцією. [1]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НБУ інфляційний звіт є важливим фоном для оцінки реальних доходів і витрат бізнесу. [1] У кадровій логіці інфляція знижує мотиваційний ефект номінального підвищення, якщо підприємство не переглядає повну компенсаційну пропозицію.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Утримання технічних кадрів також залежить від статусу професії. [1] Якщо професія сприймається як небезпечна, застаріла і низькооплачувана, молодь не входить у неї навіть за наявності вакансій. Якщо професія пов’язана з технологіями, експортом і розвитком, вона конкурує краще.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Доларовий еквівалент доходу важливий для людей, які мають альтернативу роботи за кордоном. [1]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Продуктивність є єдиним стійким джерелом вищих зарплат. [1] Тому політика утримання працівників повинна бути пов’язана з модернізацією, енергоефективністю, якістю управління, цифровими інструментами і переходом до продукції з вищою доданою вартістю.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Утримання людей не може спиратися лише на патріотичну мотивацію. [1] Вона важлива, але довгий виробничий цикл потребує матеріальної стабільності, безпеки, поваги до професії і зрозумілої кар’єри.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Мінфін дає доступний ряд мінімальної зарплати, який використовується як нижній публічний орієнтир доходів. [1] Для кваліфікованих професій реальна межа утримання вища і залежить від продуктивності підприємства.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Зарплатна політика має бути пов’язана з навчанням. [1] Якщо працівник отримує нову кваліфікацію, роботодавець повинен мати механізм підвищення ставки або позиції; інакше навчання підсилює мобільність працівника назовні, але не утримує його всередині виробництва.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Для регіонів важлива вартість життя. [1] Та сама зарплата може бути конкурентною в одній громаді й слабкою в іншій через оренду, транспорт, дитячі послуги і безпекові витрати. Тому кадрові програми повинні мати локальну фінансову логіку.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Зарплатна конкуренція не повинна руйнувати малі й середні підприємства. [1] Якщо великі проєкти забирають усіх фахівців лише ставкою, локальні ланцюги постачання слабшають. Тому потрібні навчальні програми, які збільшують загальну пропозицію кадрів, а не лише перерозподіляють її.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Для працівника важлива передбачуваність. [1] Саме це формує продуктивну лояльність.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Демографічний коридор до 2035 року і ціна втраченої продуктивності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UNDP оцінює фінансову ціну втрат людського капіталу через сценарні втрати GDP і GVA. [1] У середньому сценарії карта дає $</w:t>
      </w:r>
      <w:hyperlink r:id="rId28">
        <w:r>
          <w:rPr>
            <w:rFonts w:ascii="Arial" w:hAnsi="Arial" w:eastAsia="Arial"/>
            <w:sz w:val="24"/>
            <w:color w:val="0000EE"/>
            <w:u w:val="single"/>
          </w:rPr>
          <w:t>271,80 млрд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втрат GDP і $233,25 млрд втрат GVA; у верхній оцінці - $297,24 млрд і $255,08 млрд відповідно.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Ці величини не є прямими збитками інфраструктури. [1] Вони показують недовироблену продуктивність, нижчу додану вартість, слабшу фіскальну базу і відкладені інвестиційні ефекти. втрата людського капіталу слід включати до економічної логіки відновлення.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До 2035 року головний ризик полягає у стабілізації на нижчій трудовій базі. [1] Країна може частково відновити підприємства, транспорт і енергетику, але не отримати достатнього людського ресурсу для повного завантаження, модернізації і переходу до продукції з вищою доданою вартістю.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OECD Economic Survey: Ukraine 2025 пов’язує довгострокове відновлення з продуктивністю, реформами і здатністю економіки використовувати людський ресурс. У межах цього розділу показує, що демографічна політика повинна бути синхронізована з промисловою структурою, а не існувати окремо. [1]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Фінансова ціна втрат людського капіталу проявляється на рівні підприємства через прості затримки: [1] довший пошук працівників, дорожче навчання, нижча якість, більший брак, повільніша сертифікація, слабша ремонтна дисципліна, менше інноваційних пропозицій зсередини цеху.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На рівні держави ця ціна проявляється через податки, соціальні витрати і темп відбудови. [1]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Демографічний коридор не можна розширити лише адміністративним рішенням. [1] Він потребує комбінації повернення, утримання, включення резервів, автоматизації, підвищення продуктивності, професійної освіти, житла біля робочих місць і довшої кар’єрної пропозиції для молоді.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Тому людський капітал є місцем, де промислова політика переходить від інвестиційних планів до виконання. [1] Кожен сценарій до 2035 року залежить від того, чи здатна країна перетворити наявне населення на продуктивну робочу силу в конкретних секторах.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Фінансова оцінка втрат людського капіталу перетворює демографію на економічну категорію. [1] UNDP financial costing report показує, що втрачена продуктивність має масштаб, співставний із великими макроекономічними показниками країни.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Демографічний коридор до 2035 року залежить від чотирьох компенсаторів: [1] повернення частини людей, вища участь у праці, перекваліфікація і продуктивність. Якщо хоча б один компенсатор слабкий, навантаження на інші зростає.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OECD Ukraine 2025 корисний як зовнішній орієнтир для зв’язку між відновленням, продуктивністю і реформами. [1] Він підтверджує, що людський капітал не можна відокремити від довгої економічної траєкторії.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Ціна втраченої продуктивності накопичується непомітно. [1] Кожен рік, у який люди працюють нижче кваліфікації, не працюють або працюють поза українською економікою, зменшує майбутню податкову базу і погіршує виконання інвестиційних планів.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Менша трудова база може підтримувати вищий випуск лише за умови технологій, організації, експорту, автоматизації і якісної освіти. [1]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Тому демографічна стратегія має бути вимірюваною. [1] Вона повинна містити показники повернення, участі у праці, працевлаштування після навчання, дефіциту критичних професій, середньої зарплати у продуктивних секторах і результатів перекваліфікації.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Втрачена продуктивність накопичується у трьох формах: [1] люди не працюють, люди працюють нижче кваліфікації, люди працюють за межами української економіки. Кожна форма має різну політику повернення до продуктивного контуру.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UNDP переводить людський капітал у грошову оцінку, що зручно для бюджетної і промислової дискусії. [1] Без такої оцінки кадрові рішення часто виглядають другорядними поруч із фізичними збитками.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Демографічний коридор до 2035 року повинен бути пов’язаний із продуктивністю секторів. [1] Якщо люди повертаються у низькопродуктивні робочі місця, економічний ефект менший. Якщо вони входять у модернізовані ланцюги, той самий людський ресурс дає більшу додану вартість.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Фіскальний ефект також залежить від формалізації. [1] Працівник у продуктивній формальній зайнятості створює податки, внески, попит і навички. Праця нижче кваліфікації або в тіні зменшує цей ефект навіть за фізичної присутності людини в країні.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Сценарний горизонт 2035 року вимагає постійного перегляду припущень. [1] Повернення людей, інтенсивність мобілізації, народжуваність, стан здоров’я і продуктивність можуть змінюватися, тому кадрова модель повинна оновлюватися щороку.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Якщо людський капітал оцінюється лише після того, як інвестиційне рішення вже ухвалене, країна отримує дорогі затримки. [1] Якщо кадрова оцінка входить у проєкт із самого початку, ризик недовиконання зменшується.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Освіта, перекваліфікація і ланцюг професійних навичок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Освіта і перекваліфікація формують ланцюг професійних навичок для відновлення. [1] Після демографічного шоку країна не може чекати природного поповнення кадрів; вона потребує коротких, середніх і довгих траєкторій підготовки для людей різного віку, досвіду і регіонального статусу.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OECD Economic Survey: Ukraine 2025 підкреслює значення людського капіталу і продуктивності для економічного наближення до європейської моделі. Для промислових секторів показує, що професійна освіта має працювати поруч із інвестиціями, технологіями і регіональною відбудовою. [1]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Професійна підготовка повинна стати ближчою до підприємства. [1] Коли навчальна програма відстає від реального обладнання, випускник потребує довгої адаптації, а підприємство несе приховані витрати. Коли програма створена разом із роботодавцем, вхід у виробництво коротшає.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опитування роботодавців щодо кадрових потреб може виконувати роль регулярного сигналу для оновлення навчальних програм. [1]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Перекваліфікація ВПО потребує іншої логіки, ніж підготовка молоді. [1] Доросла людина має попередню професійну ідентичність, сімейні обмеження, коротший горизонт навчання і потребу швидше повернутися до доходу. Тому програми для ВПО мають бути модульними, практичними і пов’язаними з вакансією.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Повернення біженців також потребує визнання кваліфікацій. [1] Людина могла працювати за кордоном, отримати нові навички або втратити зв’язок із українськими сертифікаційними вимогами. Виробнича політика має перетворювати цей досвід на капітал, а не на бюрократичну перешкоду.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Для ветеранів перекваліфікація повинна включати медичну, психологічну і професійну адаптацію. [1]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Для молоді головним є престиж технічних професій. [1] Якщо відбудова створює попит на будівельників, енергетиків, машинобудівників, технологів і агропереробників, система освіти має показати кар’єрну траєкторію, а не тільки коротку вакансію.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Ланцюг навичок повинен мати цифровий шар. [1] Реєстр компетенцій, короткі мікросертифікати (micro-credentials), дані про навчальні місця, карта вакансій і результати працевлаштування дозволяють бачити, які програми реально створюють продуктивну зайнятість.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Управлінська логіка цієї секції проста: [1] кожний великий інвестиційний або відбудовчий проєкт має отримувати кадровий додаток. У ньому визначаються професії, кількість людей, строк підготовки, партнерські заклади освіти, джерела фінансування і відповідальні роботодавці.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Професійна освіта повинна скорочувати дистанцію між людиною і робочим місцем. [1] У воєнній та післявоєнній економіці довгі програми без гарантованого працевлаштування мають меншу цінність, ніж модулі, які швидко вводять людину у реальний виробничий процес.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Дуальна освіта може стати основою для технічних професій. [1] Підприємство дає обладнання, практику і стандарти; навчальний заклад дає базову підготовку, безпеку і формальне підтвердження навичок; держава фінансує частину переходу.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опитування роботодавців має бути регулярним входом для зміни навчальних програм. [1] Якщо роботодавці щороку показують дефіцит конкретних професій, освітня система повинна реагувати швидше, ніж у довоєнній інерції.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Перекваліфікація потребує вимірювання результату. [1]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Мікросертифікати (micro-credentials) можуть бути корисними для швидкого підтвердження коротких компетенцій. [1] Вони не замінюють повної освіти, але допомагають дорослим працівникам швидко добудовувати навички під конкретну вакансію.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Ланцюг професійних навичок повинен охоплювати не лише робітничі професії. [1] Відновлення потребує інженерів, менеджерів проєктів, технічних закупівельників, фахівців з якості, промислової безпеки, логістики, фінансів і цифрових систем.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Професійна освіта повинна отримати регіональну спеціалізацію. [1] Там, де відновлюється енергетика, потрібні одні програми; де будується житло - інші; де формується агропереробка - ще інші. Універсальна програма не закриває локальні вузькі місця.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Роботодавець має бути співвласником навчального результату. [1] Якщо бізнес не бере участі у програмі, він часто не довіряє випускнику; якщо бере участь, він отримує працівника, адаптованого до процесу, обладнання і стандартів підприємства.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Державна служба зайнятості може підтримувати перехід від вакансій до навчальних маршрутів. [1] Для цього дані про попит роботодавців мають перетворюватися у короткі програми з перевіреним працевлаштуванням.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Кожний навчальний маршрут повинен мати відповідального роботодавця або групу роботодавців. [1] Це знижує ризик навчання без роботи і допомагає людині бачити дохід, графік, вимоги і перспективу до початку програми.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Освітній ланцюг повинен починатися ще до професійного вибору. [1] Школярі мають бачити сучасні підприємства, обладнання, інженерів і приклади кар’єри. Без цього технічні спеціальності програють уявленню про престиж майбутньої роботи.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Доросла перекваліфікація повинна визнавати попередній досвід. [1] Людина, яка роками працювала в іншій сфері, не починає з нуля; якісна програма використовує вже наявні дисципліну, відповідальність, комунікацію, базову математику або технічну культуру.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Продуктивний резерв: ветерани, жінки, молодь і старші працівники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Продуктивний резерв людського капіталу розташований у групах, які часто розглядаються соціально, але можуть бути частиною виробничої відповіді: [1] ветерани, жінки, молодь, старші працівники, ВПО, люди з інвалідністю, повернені мігранти і самозайняті.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Ветерани можуть принести дисципліну, командний досвід і технічні навички, але виробництво повинно створити умови безпечного входу. [1] Це включає адаптацію робочого місця, медичну підтримку, наставництво, справедливий графік і чітке визнання попереднього досвіду.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Жінки є критичним резервом для секторів, де технології зменшують фізичну вагу роботи і підвищують значення точності, контролю, управління процесом, якості, логістики, фінансів, цифрових систем і сервісного обслуговування. [1]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Молодь визначає довгу спроможність до 2035 року. [1] Якщо молоді люди не бачать промислової кар’єри як сучасної, оплачуваної і технологічної, країна отримає дефіцит майстрів, техніків, інженерів і операторів саме тоді, коли модернізація потребуватиме нових навичок.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Старші працівники зберігають виробничу пам’ять. [1] Їхня роль особливо важлива для наставництва, стандартів безпеки, технічної культури і передачі неформалізованих знань. Водночас робочі місця повинні враховувати здоров’я, графік і фізичне навантаження.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IOM / ReliefWeb labour market data показує, що значна частина дорослих уже включена у роботу або самозайнятість. [1] Наступна управлінська задача полягає у підвищенні якості цієї зайнятості: більше продуктивних робочих місць, більше навичок і кращий узгодження між людьми та підприємствами.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Самозайнятість може бути резервом підприємництва і локальних сервісів для відбудови. [1] Частина самозайнятих може перейти у формальні виробничі ланцюги, якщо отримає замовлення, сертифікацію, мікрокредит, кооперацію або доступ до обладнання.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IFC описує трудові ризики для відбудовчих інвестицій у контексті будівництва та інвестиційних можливостей. [1]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Участь резервних груп потребує інфраструктури. [1] Дитячий догляд, транспорт, медична реабілітація, доступність робочого місця, гнучкі графіки і локальна безпека прямо впливають на те, скільки людей реально можуть працювати.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До 2035 року productive reserve може стати одним із найважливіших компенсаторів демографічного спаду. [1] Україна не зможе швидко збільшити кількість населення, але може збільшити частку людей, які беруть участь у продуктивній праці, і підняти продуктивність кожної включеної людини.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Продуктивний резерв потребує точного дизайну робочих місць. [1] Якщо робота організована жорстко, з довгою дорогою, слабкою безпекою і без сервісів, частина людей не може увійти в неї навіть за наявності мотивації.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Ветеранська політика у виробничій логіці повинна починатися з assessment навичок українською як оцінки навичок. [2] Людина може мати технічний досвід, управлінську дисципліну або логістичні навички, які треба перекласти в цивільну професійну мову.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Для жінок критичними є графіки, безпека, дитячий догляд і можливість входу у технічні професії через сучасне обладнання. [1] Там, де виробництво організоване технологічно, фізичні бар’єри нижчі, а потенціал участі вищий.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Для старших працівників важливо не втратити наставницьку функцію. [1] Вони можуть навчати молодь, передавати виробничу пам’ять і підтримувати стандарти якості, якщо підприємство адаптує навантаження і створює роль наставника.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IOM / ReliefWeb labour market report показує, що самозайнятість є частиною робочої участі. [1] Частину самозайнятих можна включати у формальні ланцюги через кооперацію, сервісні контракти, мікрогранти і навчання.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Резерв участі має вимірюватися в продуктивні години. [1]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Доступність, безпека, гнучкість і навчання збільшують реальну трудову участь більше, ніж декларації. [1]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Якщо робота не дає розвитку або поваги до досвіду, людина може швидко вийти з формальної зайнятості. [1]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Для жінок промислова участь зростає тоді, коли підприємства прибирають штучні бар’єри, інвестують у безпечне обладнання, створюють навчальні маршрути і враховують доглядову інфраструктуру. [1]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Для молоді ключовою є видимість майбутнього. [1]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Резерв участі не є безмежним. Кожна група має власні бар’єри, і просте відкриття вакансій не гарантує входу. Потрібні спеціальні маршрути, які зменшують конкретні перешкоди саме для цієї групи людей. [1]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Найкращий результат дає поєднання соціальної чутливості і виробничої точності. [1] Людина отримує підтримку, але ця підтримка веде до реального робочого місця, навички, зарплати і продуктивного внеску в економіку.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Секторальні умови для рішень 2026-2035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Секторальні рішення </w:t>
      </w:r>
      <w:hyperlink r:id="rId12">
        <w:r>
          <w:rPr>
            <w:rFonts w:ascii="Arial" w:hAnsi="Arial" w:eastAsia="Arial"/>
            <w:sz w:val="24"/>
            <w:color w:val="0000EE"/>
            <w:u w:val="single"/>
          </w:rPr>
          <w:t>2026-2035 років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повинні читати людський капітал як операційний ресурс. [2] Кожна галузь має власну кадрову межу, і універсальна програма зайнятості не замінює точну карту професій, регіонів, строків підготовки і вартості утримання.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Для металургії людський капітал означає змінну дисципліну, ремонтні бригади, технологів, електриків, лабораторії якості і кадри для декарбонізації. [1] Для енергетики - аварійну готовність, мережеві спеціальності, безпекові процедури і регуляторну компетентність.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Для хімії ключовими є технологічна точність, культура безпеки, лабораторні компетенції, газова й енергетична ефективність. [1] Для машинобудування - інженерна серійність, конструкторські школи, оператори ЧПК, стандарти якості, сервіс і кооперація з європейськими ланцюгами.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Для будівництва потрібна швидка мобілізація робітничих бригад, майстрів, інженерів, кошторисників, координаторів інформаційного моделювання будівель (BIM), логістів і фахівців з матеріалів. [1] Для агропромислового комплексу - сезонна координація, переробка, логістика, ветеринарія, технологи харчового виробництва і цифрове землеробство.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IFC прямо пов’язує відбудовчі інвестиції з трудовими ризиками у будівельному контексті. [1] Цей сигнал має ширше значення: інвестиція без кадрової спроможності створює затримку, здорожчання і нижчу віддачу.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RDNA5 показує масштаб потреб відновлення, а такі потреби автоматично переходять у попит на людей. [2] Якщо проєктний портфель росте швидше за ланцюг навичок, країна отримує конкуренцію за ті самі кадри між секторами.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Секторальний кадровий паспорт повинен містити мінімум сім позицій: [1] критичні професії, поточну наявність кадрів, строк підготовки, регіональну доступність, зарплатну межу утримання, потребу в резервуванні і ризик заміщення імпортною працею або відкладенням проєкту.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Політика людського капіталу повинна мати панель індикаторів, а не лише програмні документи. [1] Повторювані індикатори мають включати міграцію, ВПО, зайнятість, дефіцит кадрів, зарплати, професійну освіту, вакансії, частку працевлаштування після навчання, critical skills і статус кадрових пакетів для великих інвестицій.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Ключовий висновок для рішень </w:t>
      </w:r>
      <w:hyperlink r:id="rId12">
        <w:r>
          <w:rPr>
            <w:rFonts w:ascii="Arial" w:hAnsi="Arial" w:eastAsia="Arial"/>
            <w:sz w:val="24"/>
            <w:color w:val="0000EE"/>
            <w:u w:val="single"/>
          </w:rPr>
          <w:t>2026-2035 років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полягає в тому, що людський капітал треба планувати разом із обладнанням, енергією, логістикою і фінансуванням. [2] Окреме кадрове рішення після запуску проєкту працює повільніше і дорожче.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Якщо сектор отримує інвестицію, але не отримує людей, результатом стає нижче завантаження. [1] Якщо сектор отримує людей без технологій і продуктивної організації, результатом стає низька оплата і відтік. Ефективна промислова політика поєднує обидва контури.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Секторальні рішення мають починатися з кадрового паспорта, бо без нього інвестиційна програма не знає власної межі виконання. [1] Паспорт повинен бути коротким, оновлюваним і придатним для управлінських рішень, а не лише описовим документом.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IFC reconstruction investment analysis показує трудовий ризик у відбудовчому контексті. [1] Якщо цей ризик не врахований на старті, проєкти отримують затримки і дорожчання вже після ухвалення інвестиційного рішення.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Міжсекторна конкуренція за людей зростатиме. [1] Будівництво, енергетика, оборонне виробництво, логістика, агропереробка і машинобудування можуть потребувати схожих технічних навичок у той самий період. Це потребує пріоритетів і узгодження календарів.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Щорічний моніторинг людського капіталу повинен бути прив’язаний до секторних індикаторів. [1] Якщо в металургії зростає завантаження, має бути видно, чи зростає кількість відповідних операторів. Якщо будівництво отримує фінансування, має бути видно, чи вистачає бригад і майстрів.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Головний інструмент </w:t>
      </w:r>
      <w:hyperlink r:id="rId12">
        <w:r>
          <w:rPr>
            <w:rFonts w:ascii="Arial" w:hAnsi="Arial" w:eastAsia="Arial"/>
            <w:sz w:val="24"/>
            <w:color w:val="0000EE"/>
            <w:u w:val="single"/>
          </w:rPr>
          <w:t>2026-2035 років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- зв’язування бюджету, інвестицій і кадрового ланцюга. [2]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Успіх секторних рішень слід вимірювати через продуктивний результат: [1] скільки людей повернулося, скільки пройшло навчання, скільки працює за критичною професією, як змінилась продуктивність і чи скоротилася затримка виконання проєктів.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Кадровий паспорт сектору повинен оновлюватися щороку. [1] Ринок праці швидко змінюється, тому статична оцінка 2024 або 2025 року не може залишатися базою для всього горизонту 2035 року.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Секторальні проєкти потрібно порівнювати за кадровою складністю. [1] Два проєкти з однаковим бюджетом можуть мати різний ризик, якщо один потребує масового набору робітників, а інший - вузької групи дефіцитних інженерів.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RDNA5 задає масштаб відновлення, а цей масштаб автоматично формує попит на людей. [2] Без кадрового плану великий портфель відбудови може створити взаємне витіснення між проєктами.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Інакше проєкт формально профінансований, але фактично не має людського механізму виконання. [1]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Секторальні кадрові умови повинні бути видимими для інвесторів. [1]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Промисловий кадровий блок повинен стати частиною щорічного публічного моніторингу. [1] Це створює дисципліну виконання: якщо показники дефіциту не зменшуються, політика не може вважатися успішною лише через витрачені кошти.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580000" cy="1632733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1_B1-G11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16327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/>
      <w:r>
        <w:rPr>
          <w:rFonts w:ascii="Arial" w:hAnsi="Arial" w:eastAsia="Arial"/>
          <w:b w:val="0"/>
          <w:i w:val="0"/>
          <w:color w:val="000000"/>
          <w:sz w:val="22"/>
        </w:rPr>
        <w:t>Графік 5. B1 raw workbook normalization queue</w:t>
      </w:r>
      <w:hyperlink r:id="rId30">
        <w:r>
          <w:rPr>
            <w:rFonts w:ascii="Arial" w:hAnsi="Arial" w:eastAsia="Arial"/>
            <w:sz w:val="22"/>
            <w:color w:val="0000EE"/>
            <w:u w:val="single"/>
          </w:rPr>
          <w:t> B1-G11</w:t>
        </w:r>
      </w:hyperlink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Секторальна матриця кадрових умов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Сектор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Кадрове вузьке місце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Рішення 2026-2030</w:t>
            </w:r>
          </w:p>
        </w:tc>
        <w:tc>
          <w:tcPr>
            <w:tcW w:type="dxa" w:w="850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Металургія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змінні бригади, ремонт, технологи, якість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карта критичних професій, наставництво, резервування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Енергетика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мережеві спеціальності, аварійна готовність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короткі програми для технічних бригад і дублерів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Хімія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технологічна точність, лабораторії, культура безпеки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дуальна освіта з підприємствами і сертифікація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Машинобудування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інженери, оператори ЧПК, серійність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професійні центри біля кластерів і експортних ланцюгів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Будівництво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бригади, майстри, інженери, BIM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кадровий додаток до кожного великого проєкту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Агропереробка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сезонність, технологи, логістика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локальні програми перекваліфікації і повернення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Мінімальний набір щорічних індикаторів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Щорічний моніторинг людського капіталу повинен працювати як інструмент виконання, а не як статистичний додаток. [1] Кожний індикатор нижче має показувати, чи збільшується реальна продуктивна спроможність країни, чи тільки зберігається опис проблеми.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Паспорт сигналів</w:t>
      </w:r>
    </w:p>
    <w:p>
      <w:pPr>
        <w:pStyle w:val="Heading2"/>
      </w:pPr>
      <w:r>
        <w:rPr>
          <w:rFonts w:ascii="Arial" w:hAnsi="Arial" w:eastAsia="Arial"/>
          <w:b/>
          <w:i w:val="0"/>
          <w:color w:val="000000"/>
          <w:sz w:val="32"/>
        </w:rPr>
        <w:t>Сигнал 1 (B1-S01). Участь дорослого населення у ринку праці, 2025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Тип сигналу - людський сигнал. Вплив - він змінює межу рішень у вузлі 'на початку ринку праці'. Практичний результат - параметр, який можна зрушити політикою, капіталом або управлінським рішенням і потім перевірити повторно. Фактична опора така: Участь дорослого населення у ринку праці, 2025 фіксує рух показника від Employed adults 18-60 до Total employed/self-employed adults 18-60: значення змінюється з 58,0 до 69,0. Це показує, як темп сектора визначається доступною працею не менше, ніж технікою або будівлями. [11]</w:t>
      </w:r>
    </w:p>
    <w:p>
      <w:pPr>
        <w:pStyle w:val="Heading2"/>
      </w:pPr>
      <w:r>
        <w:rPr>
          <w:rFonts w:ascii="Arial" w:hAnsi="Arial" w:eastAsia="Arial"/>
          <w:b/>
          <w:i w:val="0"/>
          <w:color w:val="000000"/>
          <w:sz w:val="32"/>
        </w:rPr>
        <w:t>Сигнал 2 (B1-S02). Перерозподіл зайнятості до оборони і держуправління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Тип сигналу - людський сигнал. Вплив - він змінює межу рішень у вузлі 'після пояснення структурного перерозподілу'. Практичний результат - параметр, який можна зрушити політикою, капіталом або управлінським рішенням і потім перевірити повторно. [12]</w:t>
      </w:r>
    </w:p>
    <w:p>
      <w:pPr>
        <w:pStyle w:val="Heading2"/>
      </w:pPr>
      <w:r>
        <w:rPr>
          <w:rFonts w:ascii="Arial" w:hAnsi="Arial" w:eastAsia="Arial"/>
          <w:b/>
          <w:i w:val="0"/>
          <w:color w:val="000000"/>
          <w:sz w:val="32"/>
        </w:rPr>
        <w:t>Сигнал 3 (B1-S03). Дефіцит кадрів і промислова зайнятість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Тип сигналу - людський сигнал. Вплив - він змінює межу рішень у вузлі 'після абзацу про дефіцит кадрів'. Практичний результат - параметр, який можна зрушити політикою, капіталом або управлінським рішенням і потім перевірити повторно. Фактична опора така: Дефіцит кадрів і промислова зайнятість фіксує рух показника від Бізнеси з труднощами найму до Працівники держуправління й оборони: значення змінюється з 63,0 до 2,60. Це показує, як темп сектора визначається доступною працею не менше, ніж технікою або будівлями. [12]</w:t>
      </w:r>
    </w:p>
    <w:p>
      <w:pPr>
        <w:pStyle w:val="Heading2"/>
      </w:pPr>
      <w:r>
        <w:rPr>
          <w:rFonts w:ascii="Arial" w:hAnsi="Arial" w:eastAsia="Arial"/>
          <w:b/>
          <w:i w:val="0"/>
          <w:color w:val="000000"/>
          <w:sz w:val="32"/>
        </w:rPr>
        <w:t>Сигнал 4 (B1-S04). Ринок праці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Тип сигналу - людський сигнал. Вплив - він змінює межу рішень у вузлі 'або data appendix'. Практичний результат - параметр, який можна зрушити політикою, капіталом або управлінським рішенням і потім перевірити повторно. [13]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Висновки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У людському капіталі вирішальною стає послідовність кроків, що зменшує ціну затримки і підсилює виробничу спроможність. [1]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Капітал реагує на дисципліну виконання, зрозуміле правило входу і нижчу ціну ризику. [1] Там, де ці умови формуються, воєнна невизначеність переходить у фактор, який можна оцінити, страхувати і закладати в інвестиційну модель.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Праця, інженерні команди і нові виробничі ініціативи тримаються там, де видно реальний фронт роботи, стабільний попит і довший горизонт контракту. [1] Такий зв'язок між рішенням і щоденною економічною поведінкою визначає темп повернення людей та компетенцій.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Суспільна стійкість залежить від прозорих правил, нових виробництв, передбачуваних сервісів і реальної інтеграції тих, хто повертається з війни або вимушеного переміщення. [1] Без цієї опори навіть сильні інвестиційні рішення не переходять у повноцінний цикл зростання.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Подальший крок полягає у зміні сигналів, які можна перевірити повторно. [1] Через них державні рішення, приватний капітал і робота фахівців переходять із режиму виживання в режим контрольованого розвитку.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Список джерел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[1] S117 Centre for Economic Policy Research - Ukraine’s Reconstruction: Policy Options for Building an Effective Financial Architecture [Електронний ресурс]. cepr.org, 2022.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[2] S122 World Bank; United Nations; European Commission - Ukraine Fifth Rapid Damage and Needs Assessment (RDNA5) [Електронний ресурс]. worldbank.org, 2026.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[3] S087 National Bank of Ukraine (NBU) — FSR 2025 H1 eng [Електронний ресурс]. - bank.gov.ua. - null. - Режим доступу: https://bank.gov.ua/admin_uploads/article/FSR_2025-H1_eng.pdf.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[4] S088 National Bank of Ukraine (NBU) — liberalization [Електронний ресурс]. - bank.gov.ua. - null. - Режим доступу: https://bank.gov.ua/en/markets/liberalization.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[5] S091 International Monetary Fund (IMF) — ukr [Електронний ресурс]. - www.imf.org. - null. - Режим доступу: https://www.imf.org/en/countries/ukr.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[6] S159 Financial Costing of the Human Capital Losses in Ukraine [Електронний ресурс]. undp.org, 2023.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[7] S160 Eurostat - Temporary Protection for Persons Fleeing Ukraine [Електронний ресурс]. ec.europa.eu, 2026.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[8] SRC-010 Мінсоцполітики estimate — населення на підконтрольній території [Електронний ресурс]. - sud.ua. - б. д.. - Режим доступу: https://sud.ua/uk/news/obshchestvo/360710-naselenie-ukrainy-na-podkontrolnoy-territorii-sokratilos-do-22-25-mln-chelovek-minsotspolitiki.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[9] SRC-008 Демографія_населення_та_міграція.xlsx [Електронний ресурс]. - ukrstat.gov.ua. - б. д.. - Режим доступу: https://ukrstat.gov.ua.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[10] S161 IOM - Ukraine Internal Displacement (DTM Reports) [Електронний ресурс]. iom.int, 2025.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[11] S167 Ukraine - Resilience at Work: Labour Market and Displacement [Електронний ресурс]. reliefweb.int, 2025.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[12] S164 Ukraine Human Capital Chartbook 2025 [Електронний ресурс]. kse.ua, 2025.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[13] SRC-013 MINFIN__Ukraine_Labour_Market.xlsx [Електронний ресурс]. - index.minfin.com.ua. - б. д.. - Режим доступу: https://index.minfin.com.ua/ua/labour/salary/min/.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[14] S165 Inflation Report - October 2025 [Електронний ресурс]. bank.gov.ua, 2025.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[15] S195 Rebuilding Ukraine: Investment Opportunities in Construction [Електронний ресурс]. ifc.org, 2025.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[16] S155 UN Population Portal - Ukraine Demographic Indicators [Електронний ресурс]. un.org, 2026.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[17] S172 Demographic Estimates of Ukraine’s Population (Expert Interviews) [Електронний ресурс]. fakty.com.ua, 2025.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[18] S156 OECD Economic Survey: Ukraine 2025 [Електронний ресурс]. oecd.org, 2025.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[19] S157 Ukrainian Refugees After Three Years Abroad [Електронний ресурс]. ces.org.ua, 2025.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[20] S158 UNHCR - Ukraine Situation: Refugees, Return and Integration [Електронний ресурс]. unhcr.org, 2025.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[21] S162 Ukraine Fourth Rapid Damage and Needs Assessment (RDNA4) [Електронний ресурс]. worldbank.org, 2024.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[22] S163 Ukraine Fifth Rapid Damage and Needs Assessment (RDNA5) [Електронний ресурс]. worldbank.org, 2026.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[23] S166 Employer Survey on Labour Shortages [Електронний ресурс]. dcz.gov.ua, 2025.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[24] S168 Main Characteristics of Ukraine’s Labour Market [Електронний ресурс]. niss.gov.ua, 2024.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[25] S169 Economy During the War - CES Tracker [Електронний ресурс]. ces.org.ua, 2025.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[26] S170 KSE - Russia Will Pay: Economic Losses of Ukraine [Електронний ресурс]. kse.ua, 2024.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[27] S174 Ukraine Fifth Rapid Damage and Needs Assessment (RDNA5) [Електронний ресурс]. worldbank.org, 2026.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[28] S171 Rebuilding Ukraine - Labour and Investment Needs in Construction [Електронний ресурс]. ifc.org, 2025.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[29] S173 Ukraine Fourth Rapid Damage and Needs Assessment (RDNA4) [Електронний ресурс]. worldbank.org, 2024.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[30] S175 KSE - Russia Will Pay: Damages to Ukraine’s Infrastructure [Електронний ресурс]. kse.ua, 2024.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[31] S176 Energy Map of Ukraine - Power Generation and Infrastructure [Електронний ресурс]. energy-map.info, 2025.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[32] S177 State of Ukraine’s Power Sector at the End of 2025 [Електронний ресурс]. razumkov.org.ua, 2025.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[33] S194 OECD Economic Survey: Ukraine 2025 [Електронний ресурс]. oecd.org, 2025.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[34] S178 Energy System of Ukraine at the End of 2024 and Scenarios for 2025 [Електронний ресурс]. oil-gas.com.ua, 2024.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[35] S179 KSE Calculated Energy Sector Losses from Russian Attacks [Електронний ресурс]. slovoidilo.ua, 2024.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[36] S180 KSE Increased Estimate of Ukraine’s Energy Sector Losses to $56 Billion [Електронний ресурс]. ua-energy.org, 2024.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[37] S181 State of Ukraine’s Energy System After Missile Strikes [Електронний ресурс]. gmk.center, 2024.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[38] S182 Information Note on Energy Sector Performance in 2021 [Електронний ресурс]. mev.gov.ua, 2021.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[39] S183 Power Generation Structure in Ukraine - 2021 [Електронний ресурс]. uaea.com.ua, 2021.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[40] S184 Information on Ukrainian Railways Before 2022 [Електронний ресурс]. mtu.gov.ua, 2021.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[41] S185 War on the Rails: Why Ukrainian Railways Became a Target [Електронний ресурс]. tsn.ua, 2025.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[42] S186 Nearly 10,000 km of Railways Destroyed by the War [Електронний ресурс]. ukrinform.ua, 2025.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[43] S187 Technical Condition of Public Roads in Ukraine [Електронний ресурс]. mindev.gov.ua, 2025.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[44] S188 Cargo Turnover of Ukrainian Ports in 2021-2023 [Електронний ресурс]. cfts.org.ua, 2024.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[45] S189 Cargo Turnover of Ukrainian Seaports in 2024 Reached 97.2 Million Tons [Електронний ресурс]. uspa.gov.ua, 2024.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[46] S190 Ukrainian Seaports Executed Over 95% of Cargo Handling Plan in 2025 [Електронний ресурс]. mindev.gov.ua, 2025.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[47] S196 Ukraine’s Reconstruction: Policy Options for Building an Effective Financial Architecture [Електронний ресурс]. cepr.org, 2025.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[48] S191 Consequences of Russian Strikes on Ports and Railways of Ukraine [Електронний ресурс]. epravda.com.ua, 2026.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[49] S192 Logistics Component of Post-War Recovery: Challenges and Resources [Електронний ресурс]. ukrinform.ua, 2023.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[50] S193 Ukraine and the EU Agreed Further Steps to Develop Danube Logistics [Електронний ресурс]. rubryka.com, 2026.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[51] S197 KSE - Damages Report: Infrastructure Losses in Ukraine (November 2024) [Електронний ресурс]. kse.ua, 2024.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[52] S199 Ukraine Lost More Than Half of Its Power Generation Capacity [Електронний ресурс]. lb.ua, 2024.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[53] S200 Logistics in Ukraine During the War: Infrastructure Losses and Bottlenecks [Електронний ресурс]. nv.ua, 2024.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[54] S201 Impact of War on Ukraine’s Port Export Logistics [Електронний ресурс]. journals.dut.edu.ua, 2023.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[55] S202 Energy Sector Losses of Ukraine Exceeded $56 Billion - KSE [Електронний ресурс]. ukrinform.ua, 2024.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Паспорт графіків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1304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ID</w:t>
            </w:r>
          </w:p>
        </w:tc>
        <w:tc>
          <w:tcPr>
            <w:tcW w:type="dxa" w:w="4762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Назва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Розділ</w:t>
            </w:r>
          </w:p>
        </w:tc>
        <w:tc>
          <w:tcPr>
            <w:tcW w:type="dxa" w:w="136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Data room</w:t>
            </w:r>
          </w:p>
        </w:tc>
      </w:tr>
      <w:tr>
        <w:tc>
          <w:tcPr>
            <w:tcW w:type="dxa" w:w="1304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B1-G04</w:t>
            </w:r>
          </w:p>
        </w:tc>
        <w:tc>
          <w:tcPr>
            <w:tcW w:type="dxa" w:w="476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Участь дорослого населення у ринку праці, 2025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B1-06 на початку ринку праці</w:t>
            </w:r>
          </w:p>
        </w:tc>
        <w:tc>
          <w:tcPr>
            <w:tcW w:type="dxa" w:w="1361"/>
          </w:tcPr>
          <w:p>
            <w:pPr>
              <w:jc w:val="left"/>
            </w:pPr>
            <w:r/>
            <w:hyperlink r:id="rId17">
              <w:r>
                <w:rPr>
                  <w:rFonts w:ascii="Arial" w:hAnsi="Arial" w:eastAsia="Arial"/>
                  <w:sz w:val="20"/>
                  <w:color w:val="0000EE"/>
                  <w:u w:val="single"/>
                </w:rPr>
                <w:t>https://ri.proto.fund/data/b1-g04/</w:t>
              </w:r>
            </w:hyperlink>
          </w:p>
        </w:tc>
      </w:tr>
      <w:tr>
        <w:tc>
          <w:tcPr>
            <w:tcW w:type="dxa" w:w="1304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B1-G06</w:t>
            </w:r>
          </w:p>
        </w:tc>
        <w:tc>
          <w:tcPr>
            <w:tcW w:type="dxa" w:w="476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Перерозподіл зайнятості до оборони і держуправління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B1-06 після пояснення структурного перерозподілу</w:t>
            </w:r>
          </w:p>
        </w:tc>
        <w:tc>
          <w:tcPr>
            <w:tcW w:type="dxa" w:w="1361"/>
          </w:tcPr>
          <w:p>
            <w:pPr>
              <w:jc w:val="left"/>
            </w:pPr>
            <w:r/>
            <w:hyperlink r:id="rId19">
              <w:r>
                <w:rPr>
                  <w:rFonts w:ascii="Arial" w:hAnsi="Arial" w:eastAsia="Arial"/>
                  <w:sz w:val="20"/>
                  <w:color w:val="0000EE"/>
                  <w:u w:val="single"/>
                </w:rPr>
                <w:t>https://ri.proto.fund/data/b1-g06/</w:t>
              </w:r>
            </w:hyperlink>
          </w:p>
        </w:tc>
      </w:tr>
      <w:tr>
        <w:tc>
          <w:tcPr>
            <w:tcW w:type="dxa" w:w="1304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B1-G05</w:t>
            </w:r>
          </w:p>
        </w:tc>
        <w:tc>
          <w:tcPr>
            <w:tcW w:type="dxa" w:w="476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Дефіцит кадрів і промислова зайнятість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B1-06 після абзацу про дефіцит кадрів</w:t>
            </w:r>
          </w:p>
        </w:tc>
        <w:tc>
          <w:tcPr>
            <w:tcW w:type="dxa" w:w="1361"/>
          </w:tcPr>
          <w:p>
            <w:pPr>
              <w:jc w:val="left"/>
            </w:pPr>
            <w:r/>
            <w:hyperlink r:id="rId21">
              <w:r>
                <w:rPr>
                  <w:rFonts w:ascii="Arial" w:hAnsi="Arial" w:eastAsia="Arial"/>
                  <w:sz w:val="20"/>
                  <w:color w:val="0000EE"/>
                  <w:u w:val="single"/>
                </w:rPr>
                <w:t>https://ri.proto.fund/data/b1-g05/</w:t>
              </w:r>
            </w:hyperlink>
          </w:p>
        </w:tc>
      </w:tr>
      <w:tr>
        <w:tc>
          <w:tcPr>
            <w:tcW w:type="dxa" w:w="1304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B1-G08</w:t>
            </w:r>
          </w:p>
        </w:tc>
        <w:tc>
          <w:tcPr>
            <w:tcW w:type="dxa" w:w="476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Ринок праці: населення, економічна активність, зайнятість, безробіття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B1-06 або data appendix</w:t>
            </w:r>
          </w:p>
        </w:tc>
        <w:tc>
          <w:tcPr>
            <w:tcW w:type="dxa" w:w="1361"/>
          </w:tcPr>
          <w:p>
            <w:pPr>
              <w:jc w:val="left"/>
            </w:pPr>
            <w:r/>
            <w:hyperlink r:id="rId27">
              <w:r>
                <w:rPr>
                  <w:rFonts w:ascii="Arial" w:hAnsi="Arial" w:eastAsia="Arial"/>
                  <w:sz w:val="20"/>
                  <w:color w:val="0000EE"/>
                  <w:u w:val="single"/>
                </w:rPr>
                <w:t>https://ri.proto.fund/data/b1-g08/</w:t>
              </w:r>
            </w:hyperlink>
          </w:p>
        </w:tc>
      </w:tr>
      <w:tr>
        <w:tc>
          <w:tcPr>
            <w:tcW w:type="dxa" w:w="1304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B1-G11</w:t>
            </w:r>
          </w:p>
        </w:tc>
        <w:tc>
          <w:tcPr>
            <w:tcW w:type="dxa" w:w="476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B1 raw workbook normalization queue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B1 data appendix / methodology</w:t>
            </w:r>
          </w:p>
        </w:tc>
        <w:tc>
          <w:tcPr>
            <w:tcW w:type="dxa" w:w="1361"/>
          </w:tcPr>
          <w:p>
            <w:pPr>
              <w:jc w:val="left"/>
            </w:pPr>
            <w:r/>
            <w:hyperlink r:id="rId30">
              <w:r>
                <w:rPr>
                  <w:rFonts w:ascii="Arial" w:hAnsi="Arial" w:eastAsia="Arial"/>
                  <w:sz w:val="20"/>
                  <w:color w:val="0000EE"/>
                  <w:u w:val="single"/>
                </w:rPr>
                <w:t>https://ri.proto.fund/data/b1-g11/</w:t>
              </w:r>
            </w:hyperlink>
          </w:p>
        </w:tc>
      </w:tr>
    </w:tbl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59" w:lineRule="auto"/>
      <w:jc w:val="both"/>
    </w:pPr>
    <w:rPr>
      <w:rFonts w:ascii="Arial" w:hAnsi="Arial" w:eastAsia="Arial"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20" w:after="120"/>
      <w:jc w:val="left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00000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120"/>
      <w:jc w:val="left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0000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120"/>
      <w:jc w:val="left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000000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120" w:after="120"/>
      <w:jc w:val="left"/>
      <w:outlineLvl w:val="3"/>
    </w:pPr>
    <w:rPr>
      <w:rFonts w:asciiTheme="majorHAnsi" w:eastAsiaTheme="majorEastAsia" w:hAnsiTheme="majorHAnsi" w:cstheme="majorBidi" w:ascii="Arial" w:hAnsi="Arial" w:eastAsia="Arial"/>
      <w:b/>
      <w:bCs/>
      <w:i/>
      <w:iCs/>
      <w:color w:val="000000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 w:before="120"/>
      <w:contextualSpacing/>
      <w:jc w:val="left"/>
    </w:pPr>
    <w:rPr>
      <w:rFonts w:asciiTheme="majorHAnsi" w:eastAsiaTheme="majorEastAsia" w:hAnsiTheme="majorHAnsi" w:cstheme="majorBidi" w:ascii="Arial" w:hAnsi="Arial" w:eastAsia="Arial"/>
      <w:color w:val="000000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 w:before="80" w:after="160"/>
      <w:jc w:val="center"/>
    </w:pPr>
    <w:rPr>
      <w:rFonts w:ascii="Arial" w:hAnsi="Arial" w:eastAsia="Arial"/>
      <w:b/>
      <w:bCs/>
      <w:color w:val="000000"/>
      <w:sz w:val="22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c.europa.eu/eurostat/statistics-explained/index.php?title=Temporary_protection_for_persons_fleeing_Ukraine_-_monthly_statistics&amp;oldid=584697" TargetMode="External"/><Relationship Id="rId10" Type="http://schemas.openxmlformats.org/officeDocument/2006/relationships/hyperlink" Target="https://sud.ua/uk/news/obshchestvo/360710-naselenie-ukrainy-na-podkontrolnoy-territorii-sokratilos-do-22-25-mln-chelovek-minsotspolitiki" TargetMode="External"/><Relationship Id="rId11" Type="http://schemas.openxmlformats.org/officeDocument/2006/relationships/hyperlink" Target="https://bank.gov.ua/ua/news/all/inflyatsiyniy-zvit-jovten-2025-roku" TargetMode="External"/><Relationship Id="rId12" Type="http://schemas.openxmlformats.org/officeDocument/2006/relationships/hyperlink" Target="https://documents1.worldbank.org/curated/en/099022026094036395/pdf/P514499-22f93f3a-4278-42bc-b907-db9553d12069.pdf" TargetMode="External"/><Relationship Id="rId13" Type="http://schemas.openxmlformats.org/officeDocument/2006/relationships/hyperlink" Target="https://www.oecd.org/content/dam/oecd/en/publications/reports/2025/05/oecd-economic-surveys-ukraine-2025_0bb82ef9/940cee85-en.pdf" TargetMode="External"/><Relationship Id="rId14" Type="http://schemas.openxmlformats.org/officeDocument/2006/relationships/hyperlink" Target="https://ukrstat.gov.ua" TargetMode="External"/><Relationship Id="rId15" Type="http://schemas.openxmlformats.org/officeDocument/2006/relationships/hyperlink" Target="https://oil-gas.com.ua/statti/enerhetychna_systema_ukrainy_stan_na_kinets_2024_roku_ta_stsenarii_na_2025" TargetMode="External"/><Relationship Id="rId16" Type="http://schemas.openxmlformats.org/officeDocument/2006/relationships/image" Target="media/image1.png"/><Relationship Id="rId17" Type="http://schemas.openxmlformats.org/officeDocument/2006/relationships/hyperlink" Target="https://ri.proto.fund/data/b1-g04/" TargetMode="External"/><Relationship Id="rId18" Type="http://schemas.openxmlformats.org/officeDocument/2006/relationships/image" Target="media/image2.png"/><Relationship Id="rId19" Type="http://schemas.openxmlformats.org/officeDocument/2006/relationships/hyperlink" Target="https://ri.proto.fund/data/b1-g06/" TargetMode="External"/><Relationship Id="rId20" Type="http://schemas.openxmlformats.org/officeDocument/2006/relationships/image" Target="media/image3.png"/><Relationship Id="rId21" Type="http://schemas.openxmlformats.org/officeDocument/2006/relationships/hyperlink" Target="https://ri.proto.fund/data/b1-g05/" TargetMode="External"/><Relationship Id="rId22" Type="http://schemas.openxmlformats.org/officeDocument/2006/relationships/hyperlink" Target="https://kse.ua/wp-content/uploads/2025/02/KSE_Damages_Report-November-2024---ENG.pdf" TargetMode="External"/><Relationship Id="rId23" Type="http://schemas.openxmlformats.org/officeDocument/2006/relationships/hyperlink" Target="https://www.mev.gov.ua/sites/default/files/field/pdf/2022-02/inf_dov_veres_9mis_21_zv_0.pdf" TargetMode="External"/><Relationship Id="rId24" Type="http://schemas.openxmlformats.org/officeDocument/2006/relationships/hyperlink" Target="https://www.ukrinform.ua/rubric-economy/3926586-v-ukraini-z-2022-roku-cerez-vijnu-zrujnovani-majze-10-tisac-kilometriv-zaliznicnih-kolij.html" TargetMode="External"/><Relationship Id="rId25" Type="http://schemas.openxmlformats.org/officeDocument/2006/relationships/hyperlink" Target="https://epravda.com.ua/biznes/minrozvitku-rozpovilo-pro-naslidki-udariv-rf-po-portam-ta-zaliznici-ukrajini-817853/" TargetMode="External"/><Relationship Id="rId26" Type="http://schemas.openxmlformats.org/officeDocument/2006/relationships/image" Target="media/image4.png"/><Relationship Id="rId27" Type="http://schemas.openxmlformats.org/officeDocument/2006/relationships/hyperlink" Target="https://ri.proto.fund/data/b1-g08/" TargetMode="External"/><Relationship Id="rId28" Type="http://schemas.openxmlformats.org/officeDocument/2006/relationships/hyperlink" Target="https://cepr.org/system/files/publication-files/199960-ukraine_s_reconstruction_policy_options_for_building_an_effective_financial_architecture.pdf" TargetMode="External"/><Relationship Id="rId29" Type="http://schemas.openxmlformats.org/officeDocument/2006/relationships/image" Target="media/image5.png"/><Relationship Id="rId30" Type="http://schemas.openxmlformats.org/officeDocument/2006/relationships/hyperlink" Target="https://ri.proto.fund/data/b1-g1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