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 w:after="200"/>
        <w:jc w:val="left"/>
      </w:pPr>
      <w:r>
        <w:rPr>
          <w:rFonts w:ascii="Arial" w:hAnsi="Arial" w:eastAsia="Arial"/>
          <w:b/>
          <w:i w:val="0"/>
          <w:color w:val="000000"/>
          <w:sz w:val="56"/>
        </w:rPr>
        <w:t>Зведені втрати України до 2035 року: виробництво, експорт, податки, робочі місця та кумулятивна втрата можливостей</w:t>
      </w:r>
    </w:p>
    <w:p>
      <w:pPr>
        <w:jc w:val="both"/>
      </w:pPr>
      <w:r>
        <w:rPr>
          <w:rFonts w:ascii="Arial" w:hAnsi="Arial" w:eastAsia="Arial"/>
          <w:b w:val="0"/>
          <w:i w:val="0"/>
          <w:color w:val="000000"/>
          <w:sz w:val="24"/>
        </w:rPr>
        <w:t>У сукупних втратах вже видно межу між адаптацією і новим циклом зростання. [1] Далі вирішальними стають швидкість виконання, ціна затримки і здатність утримувати матеріальний результат під воєнним тиском.</w:t>
      </w:r>
    </w:p>
    <w:p>
      <w:pPr>
        <w:jc w:val="both"/>
      </w:pPr>
      <w:r>
        <w:rPr>
          <w:rFonts w:ascii="Arial" w:hAnsi="Arial" w:eastAsia="Arial"/>
          <w:b w:val="0"/>
          <w:i w:val="0"/>
          <w:color w:val="000000"/>
          <w:sz w:val="24"/>
        </w:rPr>
        <w:t>Державні рішення тут одночасно працюють з бюджетним обмеженням, безпековим ризиком і потребою зберегти довший горизонт дії. [2] Від цього залежить, які кроки дають короткий ефект, а які створюють нову спроможність на роки вперед.</w:t>
      </w:r>
    </w:p>
    <w:p>
      <w:pPr>
        <w:jc w:val="both"/>
      </w:pPr>
      <w:r>
        <w:rPr>
          <w:rFonts w:ascii="Arial" w:hAnsi="Arial" w:eastAsia="Arial"/>
          <w:b w:val="0"/>
          <w:i w:val="0"/>
          <w:color w:val="000000"/>
          <w:sz w:val="24"/>
        </w:rPr>
        <w:t>Капітал заходить туди, де видно керований контур виконання, межу ризику і шлях повернення грошей. [3]</w:t>
      </w:r>
    </w:p>
    <w:p>
      <w:pPr>
        <w:jc w:val="both"/>
      </w:pPr>
      <w:r>
        <w:rPr>
          <w:rFonts w:ascii="Arial" w:hAnsi="Arial" w:eastAsia="Arial"/>
          <w:b w:val="0"/>
          <w:i w:val="0"/>
          <w:color w:val="000000"/>
          <w:sz w:val="24"/>
        </w:rPr>
        <w:t>Фахівці, підприємці, виробничі команди і люди, що повертаються до цивільної економіки, шукають робочу базу, стабільний дохід, сучасні виробництва і зрозумілу перспективу професійної реалізації. [4] На цьому тримається довший кадровий ресурс для зростання.</w:t>
      </w:r>
    </w:p>
    <w:p>
      <w:pPr>
        <w:jc w:val="both"/>
      </w:pPr>
      <w:r>
        <w:rPr>
          <w:rFonts w:ascii="Arial" w:hAnsi="Arial" w:eastAsia="Arial"/>
          <w:b w:val="0"/>
          <w:i w:val="0"/>
          <w:color w:val="000000"/>
          <w:sz w:val="24"/>
        </w:rPr>
        <w:t>Воєнний горизонт лишається над усією економічною рамкою. [5] Країна одночасно тримає фронт, підтримує тил, готує повернення військових до цивільного життя і шукає ресурс для нового циклу розвитку, тому далі важливо побачити керовані точки зміни.</w:t>
      </w:r>
    </w:p>
    <w:p>
      <w:pPr>
        <w:pStyle w:val="Heading1"/>
      </w:pPr>
      <w:r>
        <w:rPr>
          <w:rFonts w:ascii="Arial" w:hAnsi="Arial" w:eastAsia="Arial"/>
          <w:b/>
          <w:i w:val="0"/>
          <w:color w:val="000000"/>
          <w:sz w:val="44"/>
        </w:rPr>
        <w:t>Чому зведений облік втрат важливий для реіндустріалізації</w:t>
      </w:r>
    </w:p>
    <w:p>
      <w:pPr>
        <w:jc w:val="both"/>
      </w:pPr>
      <w:r>
        <w:rPr>
          <w:rFonts w:ascii="Arial" w:hAnsi="Arial" w:eastAsia="Arial"/>
          <w:b w:val="0"/>
          <w:i w:val="0"/>
          <w:color w:val="000000"/>
          <w:sz w:val="24"/>
        </w:rPr>
        <w:t>Для реіндустріалізації важливо розділити те, що знищено або недовироблено, те, що не експортовано, те, що не стало податковою базою, і те, що втрачено як робочий час, професійна спроможність або майбутня траєкторія розвитку. [6] Без такого розділення кожна велика цифра стає політично сильною, але економічно слабкою: вона не показує, які рішення її зменшують.</w:t>
      </w:r>
    </w:p>
    <w:p>
      <w:pPr>
        <w:jc w:val="both"/>
      </w:pPr>
      <w:r>
        <w:rPr>
          <w:rFonts w:ascii="Arial" w:hAnsi="Arial" w:eastAsia="Arial"/>
          <w:b w:val="0"/>
          <w:i w:val="0"/>
          <w:color w:val="000000"/>
          <w:sz w:val="24"/>
        </w:rPr>
        <w:t>Оцінка RDNA5 створює масштабну рамку для фізичного відновлення, але потреби реконструкції не дорівнюють втраті виробництва чи втраті ВВП. [7] Якщо цю різницю не пояснити, відновлення можна помилково сприйняти як просту закупівлю активів.</w:t>
      </w:r>
    </w:p>
    <w:p>
      <w:pPr>
        <w:jc w:val="both"/>
      </w:pPr>
      <w:r>
        <w:rPr>
          <w:rFonts w:ascii="Arial" w:hAnsi="Arial" w:eastAsia="Arial"/>
          <w:b w:val="0"/>
          <w:i w:val="0"/>
          <w:color w:val="000000"/>
          <w:sz w:val="24"/>
        </w:rPr>
        <w:t>Політика реіндустріалізації має перетворювати втрати на інвестиційні пакети, де кожен секторний розрив має власну логіку: [8] металургія потребує потужностей, енергії та логістики; хімія - газу, електроенергії та відновлення базових виробництв; машинобудування - серійності й компонентів; будівництво - матеріалів, кадрів і попиту; агропромисловий комплекс - безпеки земель, логістики і переробки. UNIDO описує промислове відновлення України як програму підтримки бізнесу, інвестицій, працевлаштування та стійких громад, що підтверджує: облік втрат має бути мостом до промислової політики, а не лише бухгалтерією втрат. UNIDO описує промислове відновлення України як програму підтримки бізнесу, інвестицій, працевлаштування та стійких громад</w:t>
      </w:r>
    </w:p>
    <w:p>
      <w:pPr>
        <w:pStyle w:val="Heading1"/>
      </w:pPr>
      <w:r>
        <w:rPr>
          <w:rFonts w:ascii="Arial" w:hAnsi="Arial" w:eastAsia="Arial"/>
          <w:b/>
          <w:i w:val="0"/>
          <w:color w:val="000000"/>
          <w:sz w:val="44"/>
        </w:rPr>
        <w:t>Спостережна база втрат 2020-2025 років</w:t>
      </w:r>
    </w:p>
    <w:p>
      <w:pPr>
        <w:jc w:val="both"/>
      </w:pPr>
      <w:r>
        <w:rPr>
          <w:rFonts w:ascii="Arial" w:hAnsi="Arial" w:eastAsia="Arial"/>
          <w:b w:val="0"/>
          <w:i w:val="0"/>
          <w:color w:val="000000"/>
          <w:sz w:val="24"/>
        </w:rPr>
        <w:t>Спостережна база цього блоку починається до повномасштабного шоку і завершується на останньому доступному річному або квартальному факті. [9] Це принципово: 2020-2021 роки показують контрольну довоєнну позицію, 2022 рік - шок, 2023-2025 роки - часткову адаптацію, відновлення, релокацію і нові обмеження. Саме цей період дозволяє відокремити одноразовий удар від втраченої траєкторії.</w:t>
      </w:r>
    </w:p>
    <w:p>
      <w:pPr>
        <w:jc w:val="both"/>
      </w:pPr>
      <w:r>
        <w:rPr>
          <w:rFonts w:ascii="Arial" w:hAnsi="Arial" w:eastAsia="Arial"/>
          <w:b w:val="0"/>
          <w:i w:val="0"/>
          <w:color w:val="000000"/>
          <w:sz w:val="24"/>
        </w:rPr>
        <w:t xml:space="preserve">Металургія дає один із найбільш жорстких прикладів. [10] До 2014 року Україна мала 12 виробників сталі із сумарною потужністю </w:t>
      </w:r>
      <w:hyperlink r:id="rId9">
        <w:r>
          <w:rPr>
            <w:rFonts w:ascii="Arial" w:hAnsi="Arial" w:eastAsia="Arial"/>
            <w:sz w:val="24"/>
            <w:color w:val="0000EE"/>
            <w:u w:val="single"/>
          </w:rPr>
          <w:t>42 млн</w:t>
        </w:r>
      </w:hyperlink>
      <w:r>
        <w:rPr>
          <w:rFonts w:ascii="Arial" w:hAnsi="Arial" w:eastAsia="Arial"/>
          <w:b w:val="0"/>
          <w:i w:val="0"/>
          <w:color w:val="000000"/>
          <w:sz w:val="24"/>
        </w:rPr>
        <w:t xml:space="preserve"> тонн, а після втрат залишилося 6 підприємств і 16,5 млн тонн номінальної потужності. Інше джерело фіксує воєнне падіння виробництва сталі на 70,7% і називає серед причин знищення активів, блокаду портів, дефіцит оборотного капіталу, логістичні обмеження та енергетичний дефіцит.</w:t>
      </w:r>
    </w:p>
    <w:p>
      <w:pPr>
        <w:jc w:val="both"/>
      </w:pPr>
      <w:r>
        <w:rPr>
          <w:rFonts w:ascii="Arial" w:hAnsi="Arial" w:eastAsia="Arial"/>
          <w:b w:val="0"/>
          <w:i w:val="0"/>
          <w:color w:val="000000"/>
          <w:sz w:val="24"/>
        </w:rPr>
        <w:t xml:space="preserve">Хімічна промисловість показує інший тип втрати: [11] на старті великої війни продажі хімічної продукції різко просіли, у першому кварталі 2022 року падіння оцінювалося приблизно у </w:t>
      </w:r>
      <w:hyperlink r:id="rId10">
        <w:r>
          <w:rPr>
            <w:rFonts w:ascii="Arial" w:hAnsi="Arial" w:eastAsia="Arial"/>
            <w:sz w:val="24"/>
            <w:color w:val="0000EE"/>
            <w:u w:val="single"/>
          </w:rPr>
          <w:t>30%</w:t>
        </w:r>
      </w:hyperlink>
      <w:r>
        <w:rPr>
          <w:rFonts w:ascii="Arial" w:hAnsi="Arial" w:eastAsia="Arial"/>
          <w:b w:val="0"/>
          <w:i w:val="0"/>
          <w:color w:val="000000"/>
          <w:sz w:val="24"/>
        </w:rPr>
        <w:t>. Такий факт придатний як shock anchor, але не закриває всю оцінку до 2035 року. Його треба поєднувати з відновленням, енергетичною ціною, ринковою структурою і податковою базою, не перетворюючи точкову оцінку продажів на автоматичну оцінку доданої вартості.</w:t>
      </w:r>
    </w:p>
    <w:p>
      <w:pPr>
        <w:jc w:val="both"/>
      </w:pPr>
      <w:r>
        <w:rPr>
          <w:rFonts w:ascii="Arial" w:hAnsi="Arial" w:eastAsia="Arial"/>
          <w:b w:val="0"/>
          <w:i w:val="0"/>
          <w:color w:val="000000"/>
          <w:sz w:val="24"/>
        </w:rPr>
        <w:t xml:space="preserve">Для АПК RDNA4 фіксує фізичний розрив: [12] виробництво зернових і олійних культур становило </w:t>
      </w:r>
      <w:hyperlink r:id="rId11">
        <w:r>
          <w:rPr>
            <w:rFonts w:ascii="Arial" w:hAnsi="Arial" w:eastAsia="Arial"/>
            <w:sz w:val="24"/>
            <w:color w:val="0000EE"/>
            <w:u w:val="single"/>
          </w:rPr>
          <w:t>105 млн</w:t>
        </w:r>
      </w:hyperlink>
      <w:r>
        <w:rPr>
          <w:rFonts w:ascii="Arial" w:hAnsi="Arial" w:eastAsia="Arial"/>
          <w:b w:val="0"/>
          <w:i w:val="0"/>
          <w:color w:val="000000"/>
          <w:sz w:val="24"/>
        </w:rPr>
        <w:t xml:space="preserve"> тонн у 2021 році та 79 млн тонн у 2023 році. Це сильна фізична база для цього блоку, але грошова оцінка потребує додаткових цін, логістики, частки переробки і валютного правила.</w:t>
      </w:r>
    </w:p>
    <w:p>
      <w:pPr>
        <w:pStyle w:val="Heading1"/>
      </w:pPr>
      <w:r>
        <w:rPr>
          <w:rFonts w:ascii="Arial" w:hAnsi="Arial" w:eastAsia="Arial"/>
          <w:b/>
          <w:i w:val="0"/>
          <w:color w:val="000000"/>
          <w:sz w:val="44"/>
        </w:rPr>
        <w:t>Методологія: категорії, базові траєкторії і захист від подвійного рахунку</w:t>
      </w:r>
    </w:p>
    <w:p>
      <w:pPr>
        <w:jc w:val="both"/>
      </w:pPr>
      <w:r>
        <w:rPr>
          <w:rFonts w:ascii="Arial" w:hAnsi="Arial" w:eastAsia="Arial"/>
          <w:b w:val="0"/>
          <w:i w:val="0"/>
          <w:color w:val="000000"/>
          <w:sz w:val="24"/>
        </w:rPr>
        <w:t>Метод цього блоку тримається на трьох розрізненнях. [13] Перше - спостережна втрата (observed loss), коли є фактичний ряд і контрольна база. Друге - наближена втрата (proxy loss), коли факт є частковим або одиниця не дозволяє безпосередньо перейти до грошової оцінки. Третє - кумулятивна втрата можливостей (opportunity loss), яка виникає в майбутньому, якщо інерційна траєкторія не наздоганяє контрольну.</w:t>
      </w:r>
    </w:p>
    <w:p>
      <w:pPr>
        <w:jc w:val="both"/>
      </w:pPr>
      <w:r>
        <w:rPr>
          <w:rFonts w:ascii="Arial" w:hAnsi="Arial" w:eastAsia="Arial"/>
          <w:b w:val="0"/>
          <w:i w:val="0"/>
          <w:color w:val="000000"/>
          <w:sz w:val="24"/>
        </w:rPr>
        <w:t>Національні рахунки дають три різні входи до ВВП: [1] виробничий метод із ВДВ по видах діяльності, кінцеве використання з експортом та імпортом і розподільчий метод з оплатою праці та валовим прибутком. Тому втрачений ВВП не можна рахувати як суму валового випуску, експорту, податків і зарплат. Це ті самі економічні події, побачені з різних статистичних боків.</w:t>
      </w:r>
    </w:p>
    <w:p>
      <w:pPr>
        <w:jc w:val="both"/>
      </w:pPr>
      <w:r>
        <w:rPr>
          <w:rFonts w:ascii="Arial" w:hAnsi="Arial" w:eastAsia="Arial"/>
          <w:b w:val="0"/>
          <w:i w:val="0"/>
          <w:color w:val="000000"/>
          <w:sz w:val="24"/>
        </w:rPr>
        <w:t>Базова траєкторія у цьому блоці не означає “ідеальне мирне майбутнє”. [2] Вона означає контрольне порівняння: довоєнний рівень, нормований тренд, потужність або інший чітко пояснений benchmark. Інерційна траєкторія означає продовження поточних обмежень: неповна енергія, ризик капіталу, вузька логістика, дефіцит кадрів, повільна модернізація та імпортозалежна реконструкція.</w:t>
      </w:r>
    </w:p>
    <w:tbl>
      <w:tblPr>
        <w:tblStyle w:val="TableGrid"/>
        <w:tblW w:type="auto" w:w="0"/>
        <w:jc w:val="left"/>
        <w:tblLayout w:type="fixed"/>
        <w:tblLook w:firstColumn="1" w:firstRow="1" w:lastColumn="0" w:lastRow="0" w:noHBand="0" w:noVBand="1" w:val="04A0"/>
      </w:tblPr>
      <w:tblGrid>
        <w:gridCol w:w="3249"/>
        <w:gridCol w:w="3249"/>
        <w:gridCol w:w="3249"/>
      </w:tblGrid>
      <w:tr>
        <w:tc>
          <w:tcPr>
            <w:tcW w:type="dxa" w:w="2721"/>
          </w:tcPr>
          <w:p>
            <w:pPr>
              <w:jc w:val="left"/>
            </w:pPr>
            <w:r/>
            <w:r>
              <w:rPr>
                <w:rFonts w:ascii="Arial" w:hAnsi="Arial" w:eastAsia="Arial"/>
                <w:b/>
                <w:i w:val="0"/>
                <w:color w:val="000000"/>
                <w:sz w:val="20"/>
              </w:rPr>
              <w:t>Формула</w:t>
            </w:r>
          </w:p>
        </w:tc>
        <w:tc>
          <w:tcPr>
            <w:tcW w:type="dxa" w:w="5102"/>
          </w:tcPr>
          <w:p>
            <w:pPr>
              <w:jc w:val="left"/>
            </w:pPr>
            <w:r/>
            <w:r>
              <w:rPr>
                <w:rFonts w:ascii="Arial" w:hAnsi="Arial" w:eastAsia="Arial"/>
                <w:b/>
                <w:i w:val="0"/>
                <w:color w:val="000000"/>
                <w:sz w:val="20"/>
              </w:rPr>
              <w:t>Безпечний підсумок = Σ сумісних грошових рядків − Σ повторно врахованих економічних ефектів</w:t>
            </w:r>
          </w:p>
        </w:tc>
        <w:tc>
          <w:tcPr>
            <w:tcW w:type="dxa" w:w="1247"/>
          </w:tcPr>
          <w:p>
            <w:pPr>
              <w:jc w:val="left"/>
            </w:pPr>
            <w:r/>
            <w:r>
              <w:rPr>
                <w:rFonts w:ascii="Arial" w:hAnsi="Arial" w:eastAsia="Arial"/>
                <w:b/>
                <w:i w:val="0"/>
                <w:color w:val="000000"/>
                <w:sz w:val="20"/>
              </w:rPr>
              <w:t>Опора</w:t>
            </w:r>
          </w:p>
        </w:tc>
      </w:tr>
      <w:tr>
        <w:tc>
          <w:tcPr>
            <w:tcW w:type="dxa" w:w="2721"/>
          </w:tcPr>
          <w:p>
            <w:pPr>
              <w:jc w:val="left"/>
            </w:pPr>
            <w:r/>
            <w:r>
              <w:rPr>
                <w:rFonts w:ascii="Arial" w:hAnsi="Arial" w:eastAsia="Arial"/>
                <w:b w:val="0"/>
                <w:i w:val="0"/>
                <w:color w:val="000000"/>
                <w:sz w:val="20"/>
              </w:rPr>
              <w:t>Позначення</w:t>
            </w:r>
          </w:p>
        </w:tc>
        <w:tc>
          <w:tcPr>
            <w:tcW w:type="dxa" w:w="5102"/>
          </w:tcPr>
          <w:p>
            <w:pPr>
              <w:jc w:val="left"/>
            </w:pPr>
            <w:r/>
            <w:r>
              <w:rPr>
                <w:rFonts w:ascii="Arial" w:hAnsi="Arial" w:eastAsia="Arial"/>
                <w:b w:val="0"/>
                <w:i w:val="0"/>
                <w:color w:val="000000"/>
                <w:sz w:val="20"/>
              </w:rPr>
              <w:t>Сумісні грошові рядки - показники з однаковою одиницею, періодом і базою; повторно врахований ефект - той самий факт, внесений як випуск, експорт, податок або зарплата.</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Джерельне правило</w:t>
            </w:r>
          </w:p>
        </w:tc>
        <w:tc>
          <w:tcPr>
            <w:tcW w:type="dxa" w:w="5102"/>
          </w:tcPr>
          <w:p>
            <w:pPr>
              <w:jc w:val="left"/>
            </w:pPr>
            <w:r/>
            <w:r>
              <w:rPr>
                <w:rFonts w:ascii="Arial" w:hAnsi="Arial" w:eastAsia="Arial"/>
                <w:b w:val="0"/>
                <w:i w:val="0"/>
                <w:color w:val="000000"/>
                <w:sz w:val="20"/>
              </w:rPr>
              <w:t>Кожний ряд має ID джерела, період і одиницю. Для ВВП використовуються -; для бюджету - ; для експорту - , , .: STAT_ВВП_за_виробничим_методом.xlsx; STAT_ВВП_за_розподільчим_методом.xlsx; MINFIN__Ukraine_Budget_Full.xlsx; MINFIN__Ukraine_BoP.xlsx</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Застереження</w:t>
            </w:r>
          </w:p>
        </w:tc>
        <w:tc>
          <w:tcPr>
            <w:tcW w:type="dxa" w:w="5102"/>
          </w:tcPr>
          <w:p>
            <w:pPr>
              <w:jc w:val="left"/>
            </w:pPr>
            <w:r/>
            <w:r>
              <w:rPr>
                <w:rFonts w:ascii="Arial" w:hAnsi="Arial" w:eastAsia="Arial"/>
                <w:b w:val="0"/>
                <w:i w:val="0"/>
                <w:color w:val="000000"/>
                <w:sz w:val="20"/>
              </w:rPr>
              <w:t>Якщо експортна виручка вже є частиною випуску сектору, її не додають як нову шкоду до випуску; її показують як інший вимір.</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Інтерпретація</w:t>
            </w:r>
          </w:p>
        </w:tc>
        <w:tc>
          <w:tcPr>
            <w:tcW w:type="dxa" w:w="5102"/>
          </w:tcPr>
          <w:p>
            <w:pPr>
              <w:jc w:val="left"/>
            </w:pPr>
            <w:r/>
            <w:r>
              <w:rPr>
                <w:rFonts w:ascii="Arial" w:hAnsi="Arial" w:eastAsia="Arial"/>
                <w:b w:val="0"/>
                <w:i w:val="0"/>
                <w:color w:val="000000"/>
                <w:sz w:val="20"/>
              </w:rPr>
              <w:t>Формула захищає читача від некоректної “суми всіх втрат” і дозволяє порівнювати виміри поруч.</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Статус</w:t>
            </w:r>
          </w:p>
        </w:tc>
        <w:tc>
          <w:tcPr>
            <w:tcW w:type="dxa" w:w="5102"/>
          </w:tcPr>
          <w:p>
            <w:pPr>
              <w:jc w:val="left"/>
            </w:pPr>
            <w:r/>
            <w:r>
              <w:rPr>
                <w:rFonts w:ascii="Arial" w:hAnsi="Arial" w:eastAsia="Arial"/>
                <w:b w:val="0"/>
                <w:i w:val="0"/>
                <w:color w:val="000000"/>
                <w:sz w:val="20"/>
              </w:rPr>
              <w:t>Публічна формула прозорості; результат застосовується лише до рядків із сумісними одиницями та джерелами.</w:t>
            </w:r>
          </w:p>
        </w:tc>
        <w:tc>
          <w:tcPr>
            <w:tcW w:type="dxa" w:w="1247"/>
          </w:tcPr>
          <w:p>
            <w:pPr>
              <w:jc w:val="center"/>
            </w:pPr>
            <w:r/>
            <w:r>
              <w:rPr>
                <w:rFonts w:ascii="Arial" w:hAnsi="Arial" w:eastAsia="Arial"/>
                <w:b w:val="0"/>
                <w:i w:val="0"/>
                <w:color w:val="000000"/>
                <w:sz w:val="20"/>
              </w:rPr>
            </w:r>
          </w:p>
        </w:tc>
      </w:tr>
    </w:tbl>
    <w:p>
      <w:pPr>
        <w:pStyle w:val="Heading1"/>
      </w:pPr>
      <w:r>
        <w:rPr>
          <w:rFonts w:ascii="Arial" w:hAnsi="Arial" w:eastAsia="Arial"/>
          <w:b/>
          <w:i w:val="0"/>
          <w:color w:val="000000"/>
          <w:sz w:val="44"/>
        </w:rPr>
        <w:t>Секторна карта втрат без повторення секторних звітів</w:t>
      </w:r>
    </w:p>
    <w:p>
      <w:pPr>
        <w:jc w:val="both"/>
      </w:pPr>
      <w:r>
        <w:rPr>
          <w:rFonts w:ascii="Arial" w:hAnsi="Arial" w:eastAsia="Arial"/>
          <w:b w:val="0"/>
          <w:i w:val="0"/>
          <w:color w:val="000000"/>
          <w:sz w:val="24"/>
        </w:rPr>
        <w:t>Для зведеного обліку важливо тільки те, який секторний факт переходить у ряд втрати: [8] потужність, випуск, експорт, податкова база, робочі місця або розрив можливостей. Усі інші деталі - технологія, географія експорту, модернізація, корпоративні стратегії - залишаються в секторних розділах.</w:t>
      </w:r>
    </w:p>
    <w:p>
      <w:pPr>
        <w:jc w:val="both"/>
      </w:pPr>
      <w:r>
        <w:rPr>
          <w:rFonts w:ascii="Arial" w:hAnsi="Arial" w:eastAsia="Arial"/>
          <w:b w:val="0"/>
          <w:i w:val="0"/>
          <w:color w:val="000000"/>
          <w:sz w:val="24"/>
        </w:rPr>
        <w:t>Вона є інвентарем економічних механізмів. [10] Один сектор може мати великий фізичний розрив, але менший експортний канал; інший може мати невеликий фізичний розрив, але критичний вплив на податки або зайнятість. Тому таблиці нижче позначають тип втрати і рівень довіри, а не зводять усе до одного рангу.</w:t>
      </w:r>
    </w:p>
    <w:p>
      <w:pPr>
        <w:pStyle w:val="Heading1"/>
      </w:pPr>
      <w:r>
        <w:rPr>
          <w:rFonts w:ascii="Arial" w:hAnsi="Arial" w:eastAsia="Arial"/>
          <w:b/>
          <w:i w:val="0"/>
          <w:color w:val="000000"/>
          <w:sz w:val="44"/>
        </w:rPr>
        <w:t>Втрата виробництва: фізичний випуск, додана вартість і потужності</w:t>
      </w:r>
    </w:p>
    <w:p>
      <w:pPr>
        <w:jc w:val="both"/>
      </w:pPr>
      <w:r>
        <w:rPr>
          <w:rFonts w:ascii="Arial" w:hAnsi="Arial" w:eastAsia="Arial"/>
          <w:b w:val="0"/>
          <w:i w:val="0"/>
          <w:color w:val="000000"/>
          <w:sz w:val="24"/>
        </w:rPr>
        <w:t>Втрата виробництва у цьому блоці означає потік продукції або доданої вартості, який не виникає відносно контрольної бази. [11] Це не прямі фізичні збитки активів і не потреби відбудови. Вона може бути фізичною, наприклад тонни сталі або зерна; грошовою, наприклад валовий випуск чи ВДВ; або потужнісною, наприклад недоступні мегавати чи недозавантажені підприємства. Кожна форма потребує власної одиниці і джерела.</w:t>
      </w:r>
    </w:p>
    <w:p>
      <w:pPr>
        <w:jc w:val="both"/>
      </w:pPr>
      <w:r>
        <w:rPr>
          <w:rFonts w:ascii="Arial" w:hAnsi="Arial" w:eastAsia="Arial"/>
          <w:b w:val="0"/>
          <w:i w:val="0"/>
          <w:color w:val="000000"/>
          <w:sz w:val="24"/>
        </w:rPr>
        <w:t xml:space="preserve">Для металургії фізична база особливо сильна: [9] скорочення номінальної сталевої потужності до </w:t>
      </w:r>
      <w:hyperlink r:id="rId12">
        <w:r>
          <w:rPr>
            <w:rFonts w:ascii="Arial" w:hAnsi="Arial" w:eastAsia="Arial"/>
            <w:sz w:val="24"/>
            <w:color w:val="0000EE"/>
            <w:u w:val="single"/>
          </w:rPr>
          <w:t>16,5 млн</w:t>
        </w:r>
      </w:hyperlink>
      <w:r>
        <w:rPr>
          <w:rFonts w:ascii="Arial" w:hAnsi="Arial" w:eastAsia="Arial"/>
          <w:b w:val="0"/>
          <w:i w:val="0"/>
          <w:color w:val="000000"/>
          <w:sz w:val="24"/>
        </w:rPr>
        <w:t xml:space="preserve"> тонн після втрат активів і падіння виробництва сталі в умовах війни дають потужний ряд для lost output. Але якщо цей ряд переводиться в USD, потрібні ціни, структура продукції, курс і правило, чи рахується валовий випуск або ВДВ.</w:t>
      </w:r>
    </w:p>
    <w:p>
      <w:pPr>
        <w:jc w:val="both"/>
      </w:pPr>
      <w:r>
        <w:rPr>
          <w:rFonts w:ascii="Arial" w:hAnsi="Arial" w:eastAsia="Arial"/>
          <w:b w:val="0"/>
          <w:i w:val="0"/>
          <w:color w:val="000000"/>
          <w:sz w:val="24"/>
        </w:rPr>
        <w:t xml:space="preserve">Для АПК фізичний ряд зернових і олійних дає інший тип розриву: [12] </w:t>
      </w:r>
      <w:hyperlink r:id="rId11">
        <w:r>
          <w:rPr>
            <w:rFonts w:ascii="Arial" w:hAnsi="Arial" w:eastAsia="Arial"/>
            <w:sz w:val="24"/>
            <w:color w:val="0000EE"/>
            <w:u w:val="single"/>
          </w:rPr>
          <w:t>105 млн</w:t>
        </w:r>
      </w:hyperlink>
      <w:r>
        <w:rPr>
          <w:rFonts w:ascii="Arial" w:hAnsi="Arial" w:eastAsia="Arial"/>
          <w:b w:val="0"/>
          <w:i w:val="0"/>
          <w:color w:val="000000"/>
          <w:sz w:val="24"/>
        </w:rPr>
        <w:t xml:space="preserve"> тонн у 2021 році проти 79 млн тонн у 2023 році. Цей показник не можна додати до сталі або будівельних робіт; він стає секторним рядком фізичного випуску і входом до експортної та переробної логіки.</w:t>
      </w:r>
    </w:p>
    <w:tbl>
      <w:tblPr>
        <w:tblStyle w:val="TableGrid"/>
        <w:tblW w:type="auto" w:w="0"/>
        <w:jc w:val="left"/>
        <w:tblLayout w:type="fixed"/>
        <w:tblLook w:firstColumn="1" w:firstRow="1" w:lastColumn="0" w:lastRow="0" w:noHBand="0" w:noVBand="1" w:val="04A0"/>
      </w:tblPr>
      <w:tblGrid>
        <w:gridCol w:w="3249"/>
        <w:gridCol w:w="3249"/>
        <w:gridCol w:w="3249"/>
      </w:tblGrid>
      <w:tr>
        <w:tc>
          <w:tcPr>
            <w:tcW w:type="dxa" w:w="2721"/>
          </w:tcPr>
          <w:p>
            <w:pPr>
              <w:jc w:val="left"/>
            </w:pPr>
            <w:r/>
            <w:r>
              <w:rPr>
                <w:rFonts w:ascii="Arial" w:hAnsi="Arial" w:eastAsia="Arial"/>
                <w:b/>
                <w:i w:val="0"/>
                <w:color w:val="000000"/>
                <w:sz w:val="20"/>
              </w:rPr>
              <w:t>Формула</w:t>
            </w:r>
          </w:p>
        </w:tc>
        <w:tc>
          <w:tcPr>
            <w:tcW w:type="dxa" w:w="5102"/>
          </w:tcPr>
          <w:p>
            <w:pPr>
              <w:jc w:val="left"/>
            </w:pPr>
            <w:r/>
            <w:r>
              <w:rPr>
                <w:rFonts w:ascii="Arial" w:hAnsi="Arial" w:eastAsia="Arial"/>
                <w:b/>
                <w:i w:val="0"/>
                <w:color w:val="000000"/>
                <w:sz w:val="20"/>
              </w:rPr>
              <w:t>Втрачений випуск сектору = базовий випуск сектору − фактичний або інерційний випуск сектору</w:t>
            </w:r>
          </w:p>
        </w:tc>
        <w:tc>
          <w:tcPr>
            <w:tcW w:type="dxa" w:w="1247"/>
          </w:tcPr>
          <w:p>
            <w:pPr>
              <w:jc w:val="left"/>
            </w:pPr>
            <w:r/>
            <w:r>
              <w:rPr>
                <w:rFonts w:ascii="Arial" w:hAnsi="Arial" w:eastAsia="Arial"/>
                <w:b/>
                <w:i w:val="0"/>
                <w:color w:val="000000"/>
                <w:sz w:val="20"/>
              </w:rPr>
              <w:t>Опора</w:t>
            </w:r>
          </w:p>
        </w:tc>
      </w:tr>
      <w:tr>
        <w:tc>
          <w:tcPr>
            <w:tcW w:type="dxa" w:w="2721"/>
          </w:tcPr>
          <w:p>
            <w:pPr>
              <w:jc w:val="left"/>
            </w:pPr>
            <w:r/>
            <w:r>
              <w:rPr>
                <w:rFonts w:ascii="Arial" w:hAnsi="Arial" w:eastAsia="Arial"/>
                <w:b w:val="0"/>
                <w:i w:val="0"/>
                <w:color w:val="000000"/>
                <w:sz w:val="20"/>
              </w:rPr>
              <w:t>Позначення</w:t>
            </w:r>
          </w:p>
        </w:tc>
        <w:tc>
          <w:tcPr>
            <w:tcW w:type="dxa" w:w="5102"/>
          </w:tcPr>
          <w:p>
            <w:pPr>
              <w:jc w:val="left"/>
            </w:pPr>
            <w:r/>
            <w:r>
              <w:rPr>
                <w:rFonts w:ascii="Arial" w:hAnsi="Arial" w:eastAsia="Arial"/>
                <w:b w:val="0"/>
                <w:i w:val="0"/>
                <w:color w:val="000000"/>
                <w:sz w:val="20"/>
              </w:rPr>
              <w:t>Базовий випуск - довоєнний рівень, нормований тренд або контрольна потужність; фактичний випуск - виміряний рівень 2020-2025; інерційний випуск - продовження обмежень до 2030-2035.</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Джерельне правило</w:t>
            </w:r>
          </w:p>
        </w:tc>
        <w:tc>
          <w:tcPr>
            <w:tcW w:type="dxa" w:w="5102"/>
          </w:tcPr>
          <w:p>
            <w:pPr>
              <w:jc w:val="left"/>
            </w:pPr>
            <w:r/>
            <w:r>
              <w:rPr>
                <w:rFonts w:ascii="Arial" w:hAnsi="Arial" w:eastAsia="Arial"/>
                <w:b w:val="0"/>
                <w:i w:val="0"/>
                <w:color w:val="000000"/>
                <w:sz w:val="20"/>
              </w:rPr>
              <w:t>Для фізичних секторів застосовуються секторні ID джерела та первинний ID графіка; для ВДВ - -; для ВВП-denominator - .: STAT_ВВП_за_виробничим_методом.xlsx; STAT_ВВП_за_розподільчим_методом.xlsx; MINFIN_Ukraine_GDP.xlsx</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Застереження</w:t>
            </w:r>
          </w:p>
        </w:tc>
        <w:tc>
          <w:tcPr>
            <w:tcW w:type="dxa" w:w="5102"/>
          </w:tcPr>
          <w:p>
            <w:pPr>
              <w:jc w:val="left"/>
            </w:pPr>
            <w:r/>
            <w:r>
              <w:rPr>
                <w:rFonts w:ascii="Arial" w:hAnsi="Arial" w:eastAsia="Arial"/>
                <w:b w:val="0"/>
                <w:i w:val="0"/>
                <w:color w:val="000000"/>
                <w:sz w:val="20"/>
              </w:rPr>
              <w:t>Ряд із фізичною одиницею не переводиться в USD без окремого цінового мосту.</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Інтерпретація</w:t>
            </w:r>
          </w:p>
        </w:tc>
        <w:tc>
          <w:tcPr>
            <w:tcW w:type="dxa" w:w="5102"/>
          </w:tcPr>
          <w:p>
            <w:pPr>
              <w:jc w:val="left"/>
            </w:pPr>
            <w:r/>
            <w:r>
              <w:rPr>
                <w:rFonts w:ascii="Arial" w:hAnsi="Arial" w:eastAsia="Arial"/>
                <w:b w:val="0"/>
                <w:i w:val="0"/>
                <w:color w:val="000000"/>
                <w:sz w:val="20"/>
              </w:rPr>
              <w:t>Формула показує production gap; вона не є оцінкою всіх економічних наслідків сектору.</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Статус</w:t>
            </w:r>
          </w:p>
        </w:tc>
        <w:tc>
          <w:tcPr>
            <w:tcW w:type="dxa" w:w="5102"/>
          </w:tcPr>
          <w:p>
            <w:pPr>
              <w:jc w:val="left"/>
            </w:pPr>
            <w:r/>
            <w:r>
              <w:rPr>
                <w:rFonts w:ascii="Arial" w:hAnsi="Arial" w:eastAsia="Arial"/>
                <w:b w:val="0"/>
                <w:i w:val="0"/>
                <w:color w:val="000000"/>
                <w:sz w:val="20"/>
              </w:rPr>
              <w:t>Публічна формула прозорості; результат застосовується лише до рядків із сумісними одиницями та джерелами.</w:t>
            </w:r>
          </w:p>
        </w:tc>
        <w:tc>
          <w:tcPr>
            <w:tcW w:type="dxa" w:w="1247"/>
          </w:tcPr>
          <w:p>
            <w:pPr>
              <w:jc w:val="center"/>
            </w:pPr>
            <w:r/>
            <w:r>
              <w:rPr>
                <w:rFonts w:ascii="Arial" w:hAnsi="Arial" w:eastAsia="Arial"/>
                <w:b w:val="0"/>
                <w:i w:val="0"/>
                <w:color w:val="000000"/>
                <w:sz w:val="20"/>
              </w:rPr>
            </w:r>
          </w:p>
        </w:tc>
      </w:tr>
    </w:tbl>
    <w:tbl>
      <w:tblPr>
        <w:tblStyle w:val="TableGrid"/>
        <w:tblW w:type="auto" w:w="0"/>
        <w:jc w:val="left"/>
        <w:tblLayout w:type="fixed"/>
        <w:tblLook w:firstColumn="1" w:firstRow="1" w:lastColumn="0" w:lastRow="0" w:noHBand="0" w:noVBand="1" w:val="04A0"/>
      </w:tblPr>
      <w:tblGrid>
        <w:gridCol w:w="3249"/>
        <w:gridCol w:w="3249"/>
        <w:gridCol w:w="3249"/>
      </w:tblGrid>
      <w:tr>
        <w:tc>
          <w:tcPr>
            <w:tcW w:type="dxa" w:w="2721"/>
          </w:tcPr>
          <w:p>
            <w:pPr>
              <w:jc w:val="left"/>
            </w:pPr>
            <w:r/>
            <w:r>
              <w:rPr>
                <w:rFonts w:ascii="Arial" w:hAnsi="Arial" w:eastAsia="Arial"/>
                <w:b/>
                <w:i w:val="0"/>
                <w:color w:val="000000"/>
                <w:sz w:val="20"/>
              </w:rPr>
              <w:t>Формула</w:t>
            </w:r>
          </w:p>
        </w:tc>
        <w:tc>
          <w:tcPr>
            <w:tcW w:type="dxa" w:w="5102"/>
          </w:tcPr>
          <w:p>
            <w:pPr>
              <w:jc w:val="left"/>
            </w:pPr>
            <w:r/>
            <w:r>
              <w:rPr>
                <w:rFonts w:ascii="Arial" w:hAnsi="Arial" w:eastAsia="Arial"/>
                <w:b/>
                <w:i w:val="0"/>
                <w:color w:val="000000"/>
                <w:sz w:val="20"/>
              </w:rPr>
              <w:t>Частка сектору = сумісна втрата сектору / Σ сумісних втрат усіх включених секторів</w:t>
            </w:r>
          </w:p>
        </w:tc>
        <w:tc>
          <w:tcPr>
            <w:tcW w:type="dxa" w:w="1247"/>
          </w:tcPr>
          <w:p>
            <w:pPr>
              <w:jc w:val="left"/>
            </w:pPr>
            <w:r/>
            <w:r>
              <w:rPr>
                <w:rFonts w:ascii="Arial" w:hAnsi="Arial" w:eastAsia="Arial"/>
                <w:b/>
                <w:i w:val="0"/>
                <w:color w:val="000000"/>
                <w:sz w:val="20"/>
              </w:rPr>
              <w:t>Опора</w:t>
            </w:r>
          </w:p>
        </w:tc>
      </w:tr>
      <w:tr>
        <w:tc>
          <w:tcPr>
            <w:tcW w:type="dxa" w:w="2721"/>
          </w:tcPr>
          <w:p>
            <w:pPr>
              <w:jc w:val="left"/>
            </w:pPr>
            <w:r/>
            <w:r>
              <w:rPr>
                <w:rFonts w:ascii="Arial" w:hAnsi="Arial" w:eastAsia="Arial"/>
                <w:b w:val="0"/>
                <w:i w:val="0"/>
                <w:color w:val="000000"/>
                <w:sz w:val="20"/>
              </w:rPr>
              <w:t>Позначення</w:t>
            </w:r>
          </w:p>
        </w:tc>
        <w:tc>
          <w:tcPr>
            <w:tcW w:type="dxa" w:w="5102"/>
          </w:tcPr>
          <w:p>
            <w:pPr>
              <w:jc w:val="left"/>
            </w:pPr>
            <w:r/>
            <w:r>
              <w:rPr>
                <w:rFonts w:ascii="Arial" w:hAnsi="Arial" w:eastAsia="Arial"/>
                <w:b w:val="0"/>
                <w:i w:val="0"/>
                <w:color w:val="000000"/>
                <w:sz w:val="20"/>
              </w:rPr>
              <w:t>Сумісна втрата - ряд із однаковою одиницею та періодом. Частка не рахується для суміші тонн, USD, грн і людей.</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Джерельне правило</w:t>
            </w:r>
          </w:p>
        </w:tc>
        <w:tc>
          <w:tcPr>
            <w:tcW w:type="dxa" w:w="5102"/>
          </w:tcPr>
          <w:p>
            <w:pPr>
              <w:jc w:val="left"/>
            </w:pPr>
            <w:r/>
            <w:r>
              <w:rPr>
                <w:rFonts w:ascii="Arial" w:hAnsi="Arial" w:eastAsia="Arial"/>
                <w:b w:val="0"/>
                <w:i w:val="0"/>
                <w:color w:val="000000"/>
                <w:sz w:val="20"/>
              </w:rPr>
              <w:t>Потрібні ID джерела для всіх секторних рядків і правило курсу, якщо показник у валюті.</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Застереження</w:t>
            </w:r>
          </w:p>
        </w:tc>
        <w:tc>
          <w:tcPr>
            <w:tcW w:type="dxa" w:w="5102"/>
          </w:tcPr>
          <w:p>
            <w:pPr>
              <w:jc w:val="left"/>
            </w:pPr>
            <w:r/>
            <w:r>
              <w:rPr>
                <w:rFonts w:ascii="Arial" w:hAnsi="Arial" w:eastAsia="Arial"/>
                <w:b w:val="0"/>
                <w:i w:val="0"/>
                <w:color w:val="000000"/>
                <w:sz w:val="20"/>
              </w:rPr>
              <w:t>Якщо сектор має лише наближений показник, його частка позначається окремо і не входить до числового підсумку.</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Інтерпретація</w:t>
            </w:r>
          </w:p>
        </w:tc>
        <w:tc>
          <w:tcPr>
            <w:tcW w:type="dxa" w:w="5102"/>
          </w:tcPr>
          <w:p>
            <w:pPr>
              <w:jc w:val="left"/>
            </w:pPr>
            <w:r/>
            <w:r>
              <w:rPr>
                <w:rFonts w:ascii="Arial" w:hAnsi="Arial" w:eastAsia="Arial"/>
                <w:b w:val="0"/>
                <w:i w:val="0"/>
                <w:color w:val="000000"/>
                <w:sz w:val="20"/>
              </w:rPr>
              <w:t>Формула дозволяє читати секторний внесок без штучної “суми всіх втрат”.</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Статус</w:t>
            </w:r>
          </w:p>
        </w:tc>
        <w:tc>
          <w:tcPr>
            <w:tcW w:type="dxa" w:w="5102"/>
          </w:tcPr>
          <w:p>
            <w:pPr>
              <w:jc w:val="left"/>
            </w:pPr>
            <w:r/>
            <w:r>
              <w:rPr>
                <w:rFonts w:ascii="Arial" w:hAnsi="Arial" w:eastAsia="Arial"/>
                <w:b w:val="0"/>
                <w:i w:val="0"/>
                <w:color w:val="000000"/>
                <w:sz w:val="20"/>
              </w:rPr>
              <w:t>Публічна формула прозорості; результат застосовується лише до рядків із сумісними одиницями та джерелами.</w:t>
            </w:r>
          </w:p>
        </w:tc>
        <w:tc>
          <w:tcPr>
            <w:tcW w:type="dxa" w:w="1247"/>
          </w:tcPr>
          <w:p>
            <w:pPr>
              <w:jc w:val="center"/>
            </w:pPr>
            <w:r/>
            <w:r>
              <w:rPr>
                <w:rFonts w:ascii="Arial" w:hAnsi="Arial" w:eastAsia="Arial"/>
                <w:b w:val="0"/>
                <w:i w:val="0"/>
                <w:color w:val="000000"/>
                <w:sz w:val="20"/>
              </w:rPr>
            </w:r>
          </w:p>
        </w:tc>
      </w:tr>
    </w:tbl>
    <w:p>
      <w:pPr>
        <w:pStyle w:val="Heading1"/>
      </w:pPr>
      <w:r>
        <w:rPr>
          <w:rFonts w:ascii="Arial" w:hAnsi="Arial" w:eastAsia="Arial"/>
          <w:b/>
          <w:i w:val="0"/>
          <w:color w:val="000000"/>
          <w:sz w:val="44"/>
        </w:rPr>
        <w:t>Втрата експорту: товари, послуги і зовнішньосекторні застереження</w:t>
      </w:r>
    </w:p>
    <w:p>
      <w:pPr>
        <w:jc w:val="both"/>
      </w:pPr>
      <w:r>
        <w:rPr>
          <w:rFonts w:ascii="Arial" w:hAnsi="Arial" w:eastAsia="Arial"/>
          <w:b w:val="0"/>
          <w:i w:val="0"/>
          <w:color w:val="000000"/>
          <w:sz w:val="24"/>
        </w:rPr>
        <w:t>Втрата експорту у цьому блоці - це недоотримана валютна виручка, втрата ринкових позицій і слабший зв’язок виробництва з зовнішнім попитом. [1] Вона не є автоматично додатковою шкодою до втрати виробництва: експортована продукція вже є частиною випуску сектору. Тому експортний ряд показує інший вимір тієї самої економіки - валютний і ринковий.</w:t>
      </w:r>
    </w:p>
    <w:p>
      <w:pPr>
        <w:jc w:val="both"/>
      </w:pPr>
      <w:r>
        <w:rPr>
          <w:rFonts w:ascii="Arial" w:hAnsi="Arial" w:eastAsia="Arial"/>
          <w:b w:val="0"/>
          <w:i w:val="0"/>
          <w:color w:val="000000"/>
          <w:sz w:val="24"/>
        </w:rPr>
        <w:t xml:space="preserve">У 2025 році товарний експорт України становив </w:t>
      </w:r>
      <w:hyperlink r:id="rId13">
        <w:r>
          <w:rPr>
            <w:rFonts w:ascii="Arial" w:hAnsi="Arial" w:eastAsia="Arial"/>
            <w:sz w:val="24"/>
            <w:color w:val="0000EE"/>
            <w:u w:val="single"/>
          </w:rPr>
          <w:t>40,37 млрд</w:t>
        </w:r>
      </w:hyperlink>
      <w:r>
        <w:rPr>
          <w:rFonts w:ascii="Arial" w:hAnsi="Arial" w:eastAsia="Arial"/>
          <w:b w:val="0"/>
          <w:i w:val="0"/>
          <w:color w:val="000000"/>
          <w:sz w:val="24"/>
        </w:rPr>
        <w:t xml:space="preserve"> доларів США, а імпорт зріс до 84,74 млрд доларів. [1]</w:t>
      </w:r>
    </w:p>
    <w:tbl>
      <w:tblPr>
        <w:tblStyle w:val="TableGrid"/>
        <w:tblW w:type="auto" w:w="0"/>
        <w:jc w:val="left"/>
        <w:tblLayout w:type="fixed"/>
        <w:tblLook w:firstColumn="1" w:firstRow="1" w:lastColumn="0" w:lastRow="0" w:noHBand="0" w:noVBand="1" w:val="04A0"/>
      </w:tblPr>
      <w:tblGrid>
        <w:gridCol w:w="3249"/>
        <w:gridCol w:w="3249"/>
        <w:gridCol w:w="3249"/>
      </w:tblGrid>
      <w:tr>
        <w:tc>
          <w:tcPr>
            <w:tcW w:type="dxa" w:w="2721"/>
          </w:tcPr>
          <w:p>
            <w:pPr>
              <w:jc w:val="left"/>
            </w:pPr>
            <w:r/>
            <w:r>
              <w:rPr>
                <w:rFonts w:ascii="Arial" w:hAnsi="Arial" w:eastAsia="Arial"/>
                <w:b/>
                <w:i w:val="0"/>
                <w:color w:val="000000"/>
                <w:sz w:val="20"/>
              </w:rPr>
              <w:t>Формула</w:t>
            </w:r>
          </w:p>
        </w:tc>
        <w:tc>
          <w:tcPr>
            <w:tcW w:type="dxa" w:w="5102"/>
          </w:tcPr>
          <w:p>
            <w:pPr>
              <w:jc w:val="left"/>
            </w:pPr>
            <w:r/>
            <w:r>
              <w:rPr>
                <w:rFonts w:ascii="Arial" w:hAnsi="Arial" w:eastAsia="Arial"/>
                <w:b/>
                <w:i w:val="0"/>
                <w:color w:val="000000"/>
                <w:sz w:val="20"/>
              </w:rPr>
              <w:t>Втрачений експорт = базовий експорт − фактичний або інерційний експорт</w:t>
            </w:r>
          </w:p>
        </w:tc>
        <w:tc>
          <w:tcPr>
            <w:tcW w:type="dxa" w:w="1247"/>
          </w:tcPr>
          <w:p>
            <w:pPr>
              <w:jc w:val="left"/>
            </w:pPr>
            <w:r/>
            <w:r>
              <w:rPr>
                <w:rFonts w:ascii="Arial" w:hAnsi="Arial" w:eastAsia="Arial"/>
                <w:b/>
                <w:i w:val="0"/>
                <w:color w:val="000000"/>
                <w:sz w:val="20"/>
              </w:rPr>
              <w:t>Опора</w:t>
            </w:r>
          </w:p>
        </w:tc>
      </w:tr>
      <w:tr>
        <w:tc>
          <w:tcPr>
            <w:tcW w:type="dxa" w:w="2721"/>
          </w:tcPr>
          <w:p>
            <w:pPr>
              <w:jc w:val="left"/>
            </w:pPr>
            <w:r/>
            <w:r>
              <w:rPr>
                <w:rFonts w:ascii="Arial" w:hAnsi="Arial" w:eastAsia="Arial"/>
                <w:b w:val="0"/>
                <w:i w:val="0"/>
                <w:color w:val="000000"/>
                <w:sz w:val="20"/>
              </w:rPr>
              <w:t>Позначення</w:t>
            </w:r>
          </w:p>
        </w:tc>
        <w:tc>
          <w:tcPr>
            <w:tcW w:type="dxa" w:w="5102"/>
          </w:tcPr>
          <w:p>
            <w:pPr>
              <w:jc w:val="left"/>
            </w:pPr>
            <w:r/>
            <w:r>
              <w:rPr>
                <w:rFonts w:ascii="Arial" w:hAnsi="Arial" w:eastAsia="Arial"/>
                <w:b w:val="0"/>
                <w:i w:val="0"/>
                <w:color w:val="000000"/>
                <w:sz w:val="20"/>
              </w:rPr>
              <w:t>Базовий експорт - довоєнна або нормована експортна траєкторія; фактичний експорт - виміряний експорт товарів або послуг; інерційний експорт - сценарне продовження обмежень.</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Джерельне правило</w:t>
            </w:r>
          </w:p>
        </w:tc>
        <w:tc>
          <w:tcPr>
            <w:tcW w:type="dxa" w:w="5102"/>
          </w:tcPr>
          <w:p>
            <w:pPr>
              <w:jc w:val="left"/>
            </w:pPr>
            <w:r/>
            <w:r>
              <w:rPr>
                <w:rFonts w:ascii="Arial" w:hAnsi="Arial" w:eastAsia="Arial"/>
                <w:b w:val="0"/>
                <w:i w:val="0"/>
                <w:color w:val="000000"/>
                <w:sz w:val="20"/>
              </w:rPr>
              <w:t>Для товарів застосовуються , , і секторні джерела; для послуг - ; для металургії - .: GMK Center; MINFIN__Ukraine_BoP.xlsx</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Застереження</w:t>
            </w:r>
          </w:p>
        </w:tc>
        <w:tc>
          <w:tcPr>
            <w:tcW w:type="dxa" w:w="5102"/>
          </w:tcPr>
          <w:p>
            <w:pPr>
              <w:jc w:val="left"/>
            </w:pPr>
            <w:r/>
            <w:r>
              <w:rPr>
                <w:rFonts w:ascii="Arial" w:hAnsi="Arial" w:eastAsia="Arial"/>
                <w:b w:val="0"/>
                <w:i w:val="0"/>
                <w:color w:val="000000"/>
                <w:sz w:val="20"/>
              </w:rPr>
              <w:t>Експортна втрата не додається механічно до втрати випуску, якщо та сама продукція вже врахована у втрата виробництва.</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Інтерпретація</w:t>
            </w:r>
          </w:p>
        </w:tc>
        <w:tc>
          <w:tcPr>
            <w:tcW w:type="dxa" w:w="5102"/>
          </w:tcPr>
          <w:p>
            <w:pPr>
              <w:jc w:val="left"/>
            </w:pPr>
            <w:r/>
            <w:r>
              <w:rPr>
                <w:rFonts w:ascii="Arial" w:hAnsi="Arial" w:eastAsia="Arial"/>
                <w:b w:val="0"/>
                <w:i w:val="0"/>
                <w:color w:val="000000"/>
                <w:sz w:val="20"/>
              </w:rPr>
              <w:t>Формула дає валютний і ринковий вимір втрати, а не нову незалежну суму шкоди.</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Статус</w:t>
            </w:r>
          </w:p>
        </w:tc>
        <w:tc>
          <w:tcPr>
            <w:tcW w:type="dxa" w:w="5102"/>
          </w:tcPr>
          <w:p>
            <w:pPr>
              <w:jc w:val="left"/>
            </w:pPr>
            <w:r/>
            <w:r>
              <w:rPr>
                <w:rFonts w:ascii="Arial" w:hAnsi="Arial" w:eastAsia="Arial"/>
                <w:b w:val="0"/>
                <w:i w:val="0"/>
                <w:color w:val="000000"/>
                <w:sz w:val="20"/>
              </w:rPr>
              <w:t>Публічна формула прозорості; результат застосовується лише до рядків із сумісними одиницями та джерелами.</w:t>
            </w:r>
          </w:p>
        </w:tc>
        <w:tc>
          <w:tcPr>
            <w:tcW w:type="dxa" w:w="1247"/>
          </w:tcPr>
          <w:p>
            <w:pPr>
              <w:jc w:val="center"/>
            </w:pPr>
            <w:r/>
            <w:r>
              <w:rPr>
                <w:rFonts w:ascii="Arial" w:hAnsi="Arial" w:eastAsia="Arial"/>
                <w:b w:val="0"/>
                <w:i w:val="0"/>
                <w:color w:val="000000"/>
                <w:sz w:val="20"/>
              </w:rPr>
            </w:r>
          </w:p>
        </w:tc>
      </w:tr>
    </w:tbl>
    <w:p>
      <w:pPr>
        <w:pStyle w:val="Heading1"/>
      </w:pPr>
      <w:r>
        <w:rPr>
          <w:rFonts w:ascii="Arial" w:hAnsi="Arial" w:eastAsia="Arial"/>
          <w:b/>
          <w:i w:val="0"/>
          <w:color w:val="000000"/>
          <w:sz w:val="44"/>
        </w:rPr>
        <w:t>Недоотримані податкові доходи: державний і місцевий контури</w:t>
      </w:r>
    </w:p>
    <w:p>
      <w:pPr>
        <w:jc w:val="both"/>
      </w:pPr>
      <w:r>
        <w:rPr>
          <w:rFonts w:ascii="Arial" w:hAnsi="Arial" w:eastAsia="Arial"/>
          <w:b w:val="0"/>
          <w:i w:val="0"/>
          <w:color w:val="000000"/>
          <w:sz w:val="24"/>
        </w:rPr>
        <w:t>Фіскальна втрата у цьому блоці не є окремою “новою шкодою” поверх втрати виробництва. [1] Це бюджетний канал того самого економічного падіння. Підприємство може недовиробити продукцію, недоекспортувати її, недоотримати прибуток і сплатити менше податків. Якщо всі ці ефекти додати без пояснення, результат буде завищеним.</w:t>
      </w:r>
    </w:p>
    <w:p>
      <w:pPr>
        <w:jc w:val="both"/>
      </w:pPr>
      <w:r>
        <w:rPr>
          <w:rFonts w:ascii="Arial" w:hAnsi="Arial" w:eastAsia="Arial"/>
          <w:b w:val="0"/>
          <w:i w:val="0"/>
          <w:color w:val="000000"/>
          <w:sz w:val="24"/>
        </w:rPr>
        <w:t xml:space="preserve">Бюджетний ряд України за 2008-2025 роки дає структуру доходів, видатків і сальдо, а внутрішній ПДВ та акциз у 2025 році становили </w:t>
      </w:r>
      <w:hyperlink r:id="rId13">
        <w:r>
          <w:rPr>
            <w:rFonts w:ascii="Arial" w:hAnsi="Arial" w:eastAsia="Arial"/>
            <w:sz w:val="24"/>
            <w:color w:val="0000EE"/>
            <w:u w:val="single"/>
          </w:rPr>
          <w:t>1 129 829,3 млн</w:t>
        </w:r>
      </w:hyperlink>
      <w:r>
        <w:rPr>
          <w:rFonts w:ascii="Arial" w:hAnsi="Arial" w:eastAsia="Arial"/>
          <w:b w:val="0"/>
          <w:i w:val="0"/>
          <w:color w:val="000000"/>
          <w:sz w:val="24"/>
        </w:rPr>
        <w:t xml:space="preserve"> грн. [1] Водночас великі платники податків перерахували до зведеного бюджету 953,2 млрд грн у 2025 році. Показує, що промислова, енергетична, фінансова і логістична концентрація має непропорційний вплив на фіскальну стійкість.</w:t>
      </w:r>
    </w:p>
    <w:p>
      <w:pPr>
        <w:jc w:val="both"/>
      </w:pPr>
      <w:r>
        <w:rPr>
          <w:rFonts w:ascii="Arial" w:hAnsi="Arial" w:eastAsia="Arial"/>
          <w:b w:val="0"/>
          <w:i w:val="0"/>
          <w:color w:val="000000"/>
          <w:sz w:val="24"/>
        </w:rPr>
        <w:t xml:space="preserve">Місцеві бюджети мають іншу логіку. [1] За 9 місяців 2025 року до загального фонду місцевих бюджетів надійшло </w:t>
      </w:r>
      <w:hyperlink r:id="rId13">
        <w:r>
          <w:rPr>
            <w:rFonts w:ascii="Arial" w:hAnsi="Arial" w:eastAsia="Arial"/>
            <w:sz w:val="24"/>
            <w:color w:val="0000EE"/>
            <w:u w:val="single"/>
          </w:rPr>
          <w:t>374,1 млрд</w:t>
        </w:r>
      </w:hyperlink>
      <w:r>
        <w:rPr>
          <w:rFonts w:ascii="Arial" w:hAnsi="Arial" w:eastAsia="Arial"/>
          <w:b w:val="0"/>
          <w:i w:val="0"/>
          <w:color w:val="000000"/>
          <w:sz w:val="24"/>
        </w:rPr>
        <w:t xml:space="preserve"> грн, а прогноз місцевих доходів без трансфертів у бюджетному brief 2025 року становив 519,6 млрд грн. Для цього блоку показує, що втрата підприємств, землі, людей і локального попиту впливає на громади через ПДФО, єдиний податок, землю, нерухомість і акциз.</w:t>
      </w:r>
    </w:p>
    <w:tbl>
      <w:tblPr>
        <w:tblStyle w:val="TableGrid"/>
        <w:tblW w:type="auto" w:w="0"/>
        <w:jc w:val="left"/>
        <w:tblLayout w:type="fixed"/>
        <w:tblLook w:firstColumn="1" w:firstRow="1" w:lastColumn="0" w:lastRow="0" w:noHBand="0" w:noVBand="1" w:val="04A0"/>
      </w:tblPr>
      <w:tblGrid>
        <w:gridCol w:w="3249"/>
        <w:gridCol w:w="3249"/>
        <w:gridCol w:w="3249"/>
      </w:tblGrid>
      <w:tr>
        <w:tc>
          <w:tcPr>
            <w:tcW w:type="dxa" w:w="2721"/>
          </w:tcPr>
          <w:p>
            <w:pPr>
              <w:jc w:val="left"/>
            </w:pPr>
            <w:r/>
            <w:r>
              <w:rPr>
                <w:rFonts w:ascii="Arial" w:hAnsi="Arial" w:eastAsia="Arial"/>
                <w:b/>
                <w:i w:val="0"/>
                <w:color w:val="000000"/>
                <w:sz w:val="20"/>
              </w:rPr>
              <w:t>Формула</w:t>
            </w:r>
          </w:p>
        </w:tc>
        <w:tc>
          <w:tcPr>
            <w:tcW w:type="dxa" w:w="5102"/>
          </w:tcPr>
          <w:p>
            <w:pPr>
              <w:jc w:val="left"/>
            </w:pPr>
            <w:r/>
            <w:r>
              <w:rPr>
                <w:rFonts w:ascii="Arial" w:hAnsi="Arial" w:eastAsia="Arial"/>
                <w:b/>
                <w:i w:val="0"/>
                <w:color w:val="000000"/>
                <w:sz w:val="20"/>
              </w:rPr>
              <w:t>Недоотримані податкові доходи = втрата податкової бази × ефективна ставка × коефіцієнт фіскального зв’язку</w:t>
            </w:r>
          </w:p>
        </w:tc>
        <w:tc>
          <w:tcPr>
            <w:tcW w:type="dxa" w:w="1247"/>
          </w:tcPr>
          <w:p>
            <w:pPr>
              <w:jc w:val="left"/>
            </w:pPr>
            <w:r/>
            <w:r>
              <w:rPr>
                <w:rFonts w:ascii="Arial" w:hAnsi="Arial" w:eastAsia="Arial"/>
                <w:b/>
                <w:i w:val="0"/>
                <w:color w:val="000000"/>
                <w:sz w:val="20"/>
              </w:rPr>
              <w:t>Опора</w:t>
            </w:r>
          </w:p>
        </w:tc>
      </w:tr>
      <w:tr>
        <w:tc>
          <w:tcPr>
            <w:tcW w:type="dxa" w:w="2721"/>
          </w:tcPr>
          <w:p>
            <w:pPr>
              <w:jc w:val="left"/>
            </w:pPr>
            <w:r/>
            <w:r>
              <w:rPr>
                <w:rFonts w:ascii="Arial" w:hAnsi="Arial" w:eastAsia="Arial"/>
                <w:b w:val="0"/>
                <w:i w:val="0"/>
                <w:color w:val="000000"/>
                <w:sz w:val="20"/>
              </w:rPr>
              <w:t>Позначення</w:t>
            </w:r>
          </w:p>
        </w:tc>
        <w:tc>
          <w:tcPr>
            <w:tcW w:type="dxa" w:w="5102"/>
          </w:tcPr>
          <w:p>
            <w:pPr>
              <w:jc w:val="left"/>
            </w:pPr>
            <w:r/>
            <w:r>
              <w:rPr>
                <w:rFonts w:ascii="Arial" w:hAnsi="Arial" w:eastAsia="Arial"/>
                <w:b w:val="0"/>
                <w:i w:val="0"/>
                <w:color w:val="000000"/>
                <w:sz w:val="20"/>
              </w:rPr>
              <w:t>Податкова база - прибуток, зарплата, оборот, імпорт, споживання або інша база; ефективна ставка - фактичний або сценарний коефіцієнт; коефіцієнт фіскального зв’язку не дозволяє переносити валовий випуск у податки механічно.</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Джерельне правило</w:t>
            </w:r>
          </w:p>
        </w:tc>
        <w:tc>
          <w:tcPr>
            <w:tcW w:type="dxa" w:w="5102"/>
          </w:tcPr>
          <w:p>
            <w:pPr>
              <w:jc w:val="left"/>
            </w:pPr>
            <w:r/>
            <w:r>
              <w:rPr>
                <w:rFonts w:ascii="Arial" w:hAnsi="Arial" w:eastAsia="Arial"/>
                <w:b w:val="0"/>
                <w:i w:val="0"/>
                <w:color w:val="000000"/>
                <w:sz w:val="20"/>
              </w:rPr>
              <w:t>Для державного бюджету використовуються і ; для місцевих бюджетів - , .: MINFIN__Ukraine_Budget_Full.xlsx</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Застереження</w:t>
            </w:r>
          </w:p>
        </w:tc>
        <w:tc>
          <w:tcPr>
            <w:tcW w:type="dxa" w:w="5102"/>
          </w:tcPr>
          <w:p>
            <w:pPr>
              <w:jc w:val="left"/>
            </w:pPr>
            <w:r/>
            <w:r>
              <w:rPr>
                <w:rFonts w:ascii="Arial" w:hAnsi="Arial" w:eastAsia="Arial"/>
                <w:b w:val="0"/>
                <w:i w:val="0"/>
                <w:color w:val="000000"/>
                <w:sz w:val="20"/>
              </w:rPr>
              <w:t>Податкова втрата не додається до втрата виробництва як незалежна шкода без пояснення.</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Інтерпретація</w:t>
            </w:r>
          </w:p>
        </w:tc>
        <w:tc>
          <w:tcPr>
            <w:tcW w:type="dxa" w:w="5102"/>
          </w:tcPr>
          <w:p>
            <w:pPr>
              <w:jc w:val="left"/>
            </w:pPr>
            <w:r/>
            <w:r>
              <w:rPr>
                <w:rFonts w:ascii="Arial" w:hAnsi="Arial" w:eastAsia="Arial"/>
                <w:b w:val="0"/>
                <w:i w:val="0"/>
                <w:color w:val="000000"/>
                <w:sz w:val="20"/>
              </w:rPr>
              <w:t>Формула переводить економічний спад у фіскальний канал і показує, де бюджетна база вразлива.</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Статус</w:t>
            </w:r>
          </w:p>
        </w:tc>
        <w:tc>
          <w:tcPr>
            <w:tcW w:type="dxa" w:w="5102"/>
          </w:tcPr>
          <w:p>
            <w:pPr>
              <w:jc w:val="left"/>
            </w:pPr>
            <w:r/>
            <w:r>
              <w:rPr>
                <w:rFonts w:ascii="Arial" w:hAnsi="Arial" w:eastAsia="Arial"/>
                <w:b w:val="0"/>
                <w:i w:val="0"/>
                <w:color w:val="000000"/>
                <w:sz w:val="20"/>
              </w:rPr>
              <w:t>Публічна формула прозорості; результат застосовується лише до рядків із сумісними одиницями та джерелами.</w:t>
            </w:r>
          </w:p>
        </w:tc>
        <w:tc>
          <w:tcPr>
            <w:tcW w:type="dxa" w:w="1247"/>
          </w:tcPr>
          <w:p>
            <w:pPr>
              <w:jc w:val="center"/>
            </w:pPr>
            <w:r/>
            <w:r>
              <w:rPr>
                <w:rFonts w:ascii="Arial" w:hAnsi="Arial" w:eastAsia="Arial"/>
                <w:b w:val="0"/>
                <w:i w:val="0"/>
                <w:color w:val="000000"/>
                <w:sz w:val="20"/>
              </w:rPr>
            </w:r>
          </w:p>
        </w:tc>
      </w:tr>
    </w:tbl>
    <w:tbl>
      <w:tblPr>
        <w:tblStyle w:val="TableGrid"/>
        <w:tblW w:type="auto" w:w="0"/>
        <w:jc w:val="left"/>
        <w:tblLayout w:type="fixed"/>
        <w:tblLook w:firstColumn="1" w:firstRow="1" w:lastColumn="0" w:lastRow="0" w:noHBand="0" w:noVBand="1" w:val="04A0"/>
      </w:tblPr>
      <w:tblGrid>
        <w:gridCol w:w="3249"/>
        <w:gridCol w:w="3249"/>
        <w:gridCol w:w="3249"/>
      </w:tblGrid>
      <w:tr>
        <w:tc>
          <w:tcPr>
            <w:tcW w:type="dxa" w:w="2721"/>
          </w:tcPr>
          <w:p>
            <w:pPr>
              <w:jc w:val="left"/>
            </w:pPr>
            <w:r/>
            <w:r>
              <w:rPr>
                <w:rFonts w:ascii="Arial" w:hAnsi="Arial" w:eastAsia="Arial"/>
                <w:b/>
                <w:i w:val="0"/>
                <w:color w:val="000000"/>
                <w:sz w:val="20"/>
              </w:rPr>
              <w:t>Формула</w:t>
            </w:r>
          </w:p>
        </w:tc>
        <w:tc>
          <w:tcPr>
            <w:tcW w:type="dxa" w:w="5102"/>
          </w:tcPr>
          <w:p>
            <w:pPr>
              <w:jc w:val="left"/>
            </w:pPr>
            <w:r/>
            <w:r>
              <w:rPr>
                <w:rFonts w:ascii="Arial" w:hAnsi="Arial" w:eastAsia="Arial"/>
                <w:b/>
                <w:i w:val="0"/>
                <w:color w:val="000000"/>
                <w:sz w:val="20"/>
              </w:rPr>
              <w:t>Місцева фіскальна втрата = Σ(втрата локальної бази податку × локальна частка надходжень)</w:t>
            </w:r>
          </w:p>
        </w:tc>
        <w:tc>
          <w:tcPr>
            <w:tcW w:type="dxa" w:w="1247"/>
          </w:tcPr>
          <w:p>
            <w:pPr>
              <w:jc w:val="left"/>
            </w:pPr>
            <w:r/>
            <w:r>
              <w:rPr>
                <w:rFonts w:ascii="Arial" w:hAnsi="Arial" w:eastAsia="Arial"/>
                <w:b/>
                <w:i w:val="0"/>
                <w:color w:val="000000"/>
                <w:sz w:val="20"/>
              </w:rPr>
              <w:t>Опора</w:t>
            </w:r>
          </w:p>
        </w:tc>
      </w:tr>
      <w:tr>
        <w:tc>
          <w:tcPr>
            <w:tcW w:type="dxa" w:w="2721"/>
          </w:tcPr>
          <w:p>
            <w:pPr>
              <w:jc w:val="left"/>
            </w:pPr>
            <w:r/>
            <w:r>
              <w:rPr>
                <w:rFonts w:ascii="Arial" w:hAnsi="Arial" w:eastAsia="Arial"/>
                <w:b w:val="0"/>
                <w:i w:val="0"/>
                <w:color w:val="000000"/>
                <w:sz w:val="20"/>
              </w:rPr>
              <w:t>Позначення</w:t>
            </w:r>
          </w:p>
        </w:tc>
        <w:tc>
          <w:tcPr>
            <w:tcW w:type="dxa" w:w="5102"/>
          </w:tcPr>
          <w:p>
            <w:pPr>
              <w:jc w:val="left"/>
            </w:pPr>
            <w:r/>
            <w:r>
              <w:rPr>
                <w:rFonts w:ascii="Arial" w:hAnsi="Arial" w:eastAsia="Arial"/>
                <w:b w:val="0"/>
                <w:i w:val="0"/>
                <w:color w:val="000000"/>
                <w:sz w:val="20"/>
              </w:rPr>
              <w:t>Локальна база - зарплати, земля, нерухомість, малий бізнес, місцевий акциз або прибуток приватного сектору; локальна частка - частина надходжень, яка залишається громаді або бюджету відповідного рівня.</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Джерельне правило</w:t>
            </w:r>
          </w:p>
        </w:tc>
        <w:tc>
          <w:tcPr>
            <w:tcW w:type="dxa" w:w="5102"/>
          </w:tcPr>
          <w:p>
            <w:pPr>
              <w:jc w:val="left"/>
            </w:pPr>
            <w:r/>
            <w:r>
              <w:rPr>
                <w:rFonts w:ascii="Arial" w:hAnsi="Arial" w:eastAsia="Arial"/>
                <w:b w:val="0"/>
                <w:i w:val="0"/>
                <w:color w:val="000000"/>
                <w:sz w:val="20"/>
              </w:rPr>
              <w:t>Джерела: , , а для аграрної земельної безпеки - .: Ukraine Fourth Rapid</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Застереження</w:t>
            </w:r>
          </w:p>
        </w:tc>
        <w:tc>
          <w:tcPr>
            <w:tcW w:type="dxa" w:w="5102"/>
          </w:tcPr>
          <w:p>
            <w:pPr>
              <w:jc w:val="left"/>
            </w:pPr>
            <w:r/>
            <w:r>
              <w:rPr>
                <w:rFonts w:ascii="Arial" w:hAnsi="Arial" w:eastAsia="Arial"/>
                <w:b w:val="0"/>
                <w:i w:val="0"/>
                <w:color w:val="000000"/>
                <w:sz w:val="20"/>
              </w:rPr>
              <w:t>Місцева фіскальна втрата не є автоматично частиною державного дефіциту; це окрема територіальна база.</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Інтерпретація</w:t>
            </w:r>
          </w:p>
        </w:tc>
        <w:tc>
          <w:tcPr>
            <w:tcW w:type="dxa" w:w="5102"/>
          </w:tcPr>
          <w:p>
            <w:pPr>
              <w:jc w:val="left"/>
            </w:pPr>
            <w:r/>
            <w:r>
              <w:rPr>
                <w:rFonts w:ascii="Arial" w:hAnsi="Arial" w:eastAsia="Arial"/>
                <w:b w:val="0"/>
                <w:i w:val="0"/>
                <w:color w:val="000000"/>
                <w:sz w:val="20"/>
              </w:rPr>
              <w:t>Формула показує, чому громади з втраченими підприємствами і людьми втрачають бюджетну автономію.</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Статус</w:t>
            </w:r>
          </w:p>
        </w:tc>
        <w:tc>
          <w:tcPr>
            <w:tcW w:type="dxa" w:w="5102"/>
          </w:tcPr>
          <w:p>
            <w:pPr>
              <w:jc w:val="left"/>
            </w:pPr>
            <w:r/>
            <w:r>
              <w:rPr>
                <w:rFonts w:ascii="Arial" w:hAnsi="Arial" w:eastAsia="Arial"/>
                <w:b w:val="0"/>
                <w:i w:val="0"/>
                <w:color w:val="000000"/>
                <w:sz w:val="20"/>
              </w:rPr>
              <w:t>Публічна формула прозорості; результат застосовується лише до рядків із сумісними одиницями та джерелами.</w:t>
            </w:r>
          </w:p>
        </w:tc>
        <w:tc>
          <w:tcPr>
            <w:tcW w:type="dxa" w:w="1247"/>
          </w:tcPr>
          <w:p>
            <w:pPr>
              <w:jc w:val="center"/>
            </w:pPr>
            <w:r/>
            <w:r>
              <w:rPr>
                <w:rFonts w:ascii="Arial" w:hAnsi="Arial" w:eastAsia="Arial"/>
                <w:b w:val="0"/>
                <w:i w:val="0"/>
                <w:color w:val="000000"/>
                <w:sz w:val="20"/>
              </w:rPr>
            </w:r>
          </w:p>
        </w:tc>
      </w:tr>
    </w:tbl>
    <w:p>
      <w:pPr>
        <w:pStyle w:val="Heading1"/>
      </w:pPr>
      <w:r>
        <w:rPr>
          <w:rFonts w:ascii="Arial" w:hAnsi="Arial" w:eastAsia="Arial"/>
          <w:b/>
          <w:i w:val="0"/>
          <w:color w:val="000000"/>
          <w:sz w:val="44"/>
        </w:rPr>
        <w:t>Втрачені робочі місця і недоступна робоча сила</w:t>
      </w:r>
    </w:p>
    <w:p>
      <w:pPr>
        <w:jc w:val="both"/>
      </w:pPr>
      <w:r>
        <w:rPr>
          <w:rFonts w:ascii="Arial" w:hAnsi="Arial" w:eastAsia="Arial"/>
          <w:b w:val="0"/>
          <w:i w:val="0"/>
          <w:color w:val="000000"/>
          <w:sz w:val="24"/>
        </w:rPr>
        <w:t>Трудова втрата у цьому блоці - це не лише кількість людей, які втратили роботу. [1] Для реіндустріалізації важлива доступна праця: хто перебуває в Україні, хто виїхав, хто переміщений, хто повернувся, які професії втрачені, які працівники мобілізовані або недоступні, і чи може економіка масштабувати виробництво, якщо з’являється попит та інвестиції.</w:t>
      </w:r>
    </w:p>
    <w:p>
      <w:pPr>
        <w:jc w:val="both"/>
      </w:pPr>
      <w:r>
        <w:rPr>
          <w:rFonts w:ascii="Arial" w:hAnsi="Arial" w:eastAsia="Arial"/>
          <w:b w:val="0"/>
          <w:i w:val="0"/>
          <w:color w:val="000000"/>
          <w:sz w:val="24"/>
        </w:rPr>
        <w:t xml:space="preserve">ILO оцінювала, що у 2022 році зайнятість в Україні була на </w:t>
      </w:r>
      <w:hyperlink r:id="rId13">
        <w:r>
          <w:rPr>
            <w:rFonts w:ascii="Arial" w:hAnsi="Arial" w:eastAsia="Arial"/>
            <w:sz w:val="24"/>
            <w:color w:val="0000EE"/>
            <w:u w:val="single"/>
          </w:rPr>
          <w:t>2,4 млн</w:t>
        </w:r>
      </w:hyperlink>
      <w:r>
        <w:rPr>
          <w:rFonts w:ascii="Arial" w:hAnsi="Arial" w:eastAsia="Arial"/>
          <w:b w:val="0"/>
          <w:i w:val="0"/>
          <w:color w:val="000000"/>
          <w:sz w:val="24"/>
        </w:rPr>
        <w:t xml:space="preserve"> робочих місць нижчою за рівень 2021 року. [1] Це сильний shock anchor, але не прогноз до 2035 року. Eurostat фіксував 4,40 млн осіб під тимчасовим захистом у ЄС станом на 28 лютого 2026 року, а IOM дає окрему рамку для ВПО та тих, хто повернувся.</w:t>
      </w:r>
    </w:p>
    <w:p>
      <w:pPr>
        <w:jc w:val="both"/>
      </w:pPr>
      <w:r>
        <w:rPr>
          <w:rFonts w:ascii="Arial" w:hAnsi="Arial" w:eastAsia="Arial"/>
          <w:b w:val="0"/>
          <w:i w:val="0"/>
          <w:color w:val="000000"/>
          <w:sz w:val="24"/>
        </w:rPr>
        <w:t>KSE Human Capital Chartbook 2025 фіксує значний кадровий constraint для бізнесу та скорочення зайнятості в промислових секторах. [1]</w:t>
      </w:r>
    </w:p>
    <w:tbl>
      <w:tblPr>
        <w:tblStyle w:val="TableGrid"/>
        <w:tblW w:type="auto" w:w="0"/>
        <w:jc w:val="left"/>
        <w:tblLayout w:type="fixed"/>
        <w:tblLook w:firstColumn="1" w:firstRow="1" w:lastColumn="0" w:lastRow="0" w:noHBand="0" w:noVBand="1" w:val="04A0"/>
      </w:tblPr>
      <w:tblGrid>
        <w:gridCol w:w="3249"/>
        <w:gridCol w:w="3249"/>
        <w:gridCol w:w="3249"/>
      </w:tblGrid>
      <w:tr>
        <w:tc>
          <w:tcPr>
            <w:tcW w:type="dxa" w:w="2721"/>
          </w:tcPr>
          <w:p>
            <w:pPr>
              <w:jc w:val="left"/>
            </w:pPr>
            <w:r/>
            <w:r>
              <w:rPr>
                <w:rFonts w:ascii="Arial" w:hAnsi="Arial" w:eastAsia="Arial"/>
                <w:b/>
                <w:i w:val="0"/>
                <w:color w:val="000000"/>
                <w:sz w:val="20"/>
              </w:rPr>
              <w:t>Формула</w:t>
            </w:r>
          </w:p>
        </w:tc>
        <w:tc>
          <w:tcPr>
            <w:tcW w:type="dxa" w:w="5102"/>
          </w:tcPr>
          <w:p>
            <w:pPr>
              <w:jc w:val="left"/>
            </w:pPr>
            <w:r/>
            <w:r>
              <w:rPr>
                <w:rFonts w:ascii="Arial" w:hAnsi="Arial" w:eastAsia="Arial"/>
                <w:b/>
                <w:i w:val="0"/>
                <w:color w:val="000000"/>
                <w:sz w:val="20"/>
              </w:rPr>
              <w:t>Втрачені робочі місця = базова зайнятість у секторі − фактична або доступна зайнятість у секторі</w:t>
            </w:r>
          </w:p>
        </w:tc>
        <w:tc>
          <w:tcPr>
            <w:tcW w:type="dxa" w:w="1247"/>
          </w:tcPr>
          <w:p>
            <w:pPr>
              <w:jc w:val="left"/>
            </w:pPr>
            <w:r/>
            <w:r>
              <w:rPr>
                <w:rFonts w:ascii="Arial" w:hAnsi="Arial" w:eastAsia="Arial"/>
                <w:b/>
                <w:i w:val="0"/>
                <w:color w:val="000000"/>
                <w:sz w:val="20"/>
              </w:rPr>
              <w:t>Опора</w:t>
            </w:r>
          </w:p>
        </w:tc>
      </w:tr>
      <w:tr>
        <w:tc>
          <w:tcPr>
            <w:tcW w:type="dxa" w:w="2721"/>
          </w:tcPr>
          <w:p>
            <w:pPr>
              <w:jc w:val="left"/>
            </w:pPr>
            <w:r/>
            <w:r>
              <w:rPr>
                <w:rFonts w:ascii="Arial" w:hAnsi="Arial" w:eastAsia="Arial"/>
                <w:b w:val="0"/>
                <w:i w:val="0"/>
                <w:color w:val="000000"/>
                <w:sz w:val="20"/>
              </w:rPr>
              <w:t>Позначення</w:t>
            </w:r>
          </w:p>
        </w:tc>
        <w:tc>
          <w:tcPr>
            <w:tcW w:type="dxa" w:w="5102"/>
          </w:tcPr>
          <w:p>
            <w:pPr>
              <w:jc w:val="left"/>
            </w:pPr>
            <w:r/>
            <w:r>
              <w:rPr>
                <w:rFonts w:ascii="Arial" w:hAnsi="Arial" w:eastAsia="Arial"/>
                <w:b w:val="0"/>
                <w:i w:val="0"/>
                <w:color w:val="000000"/>
                <w:sz w:val="20"/>
              </w:rPr>
              <w:t>Базова зайнятість - довоєнний або нормований рівень; фактична зайнятість - виміряний рівень; доступна зайнятість враховує міграцію, ВПО, мобілізацію, повернення, дефіцит навичок і регіональний розрив.</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Джерельне правило</w:t>
            </w:r>
          </w:p>
        </w:tc>
        <w:tc>
          <w:tcPr>
            <w:tcW w:type="dxa" w:w="5102"/>
          </w:tcPr>
          <w:p>
            <w:pPr>
              <w:jc w:val="left"/>
            </w:pPr>
            <w:r/>
            <w:r>
              <w:rPr>
                <w:rFonts w:ascii="Arial" w:hAnsi="Arial" w:eastAsia="Arial"/>
                <w:b w:val="0"/>
                <w:i w:val="0"/>
                <w:color w:val="000000"/>
                <w:sz w:val="20"/>
              </w:rPr>
              <w:t>Для shock anchor - ; для зовнішньої міграції - ; для ВПО та повернень - ; для кадрового constraint - ; для ринку праці - .: Eurostat; IOM; Ukraine Human Capital; MINFIN__Ukraine_Labour_Market.xlsx</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Застереження</w:t>
            </w:r>
          </w:p>
        </w:tc>
        <w:tc>
          <w:tcPr>
            <w:tcW w:type="dxa" w:w="5102"/>
          </w:tcPr>
          <w:p>
            <w:pPr>
              <w:jc w:val="left"/>
            </w:pPr>
            <w:r/>
            <w:r>
              <w:rPr>
                <w:rFonts w:ascii="Arial" w:hAnsi="Arial" w:eastAsia="Arial"/>
                <w:b w:val="0"/>
                <w:i w:val="0"/>
                <w:color w:val="000000"/>
                <w:sz w:val="20"/>
              </w:rPr>
              <w:t>Job loss не дорівнює соціальним витратам і не додається до USD-втрат без monetization rule.</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Інтерпретація</w:t>
            </w:r>
          </w:p>
        </w:tc>
        <w:tc>
          <w:tcPr>
            <w:tcW w:type="dxa" w:w="5102"/>
          </w:tcPr>
          <w:p>
            <w:pPr>
              <w:jc w:val="left"/>
            </w:pPr>
            <w:r/>
            <w:r>
              <w:rPr>
                <w:rFonts w:ascii="Arial" w:hAnsi="Arial" w:eastAsia="Arial"/>
                <w:b w:val="0"/>
                <w:i w:val="0"/>
                <w:color w:val="000000"/>
                <w:sz w:val="20"/>
              </w:rPr>
              <w:t>Формула показує трудову межу реіндустріалізації: навіть капітал і попит не створюють випуск без доступних людей.</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Статус</w:t>
            </w:r>
          </w:p>
        </w:tc>
        <w:tc>
          <w:tcPr>
            <w:tcW w:type="dxa" w:w="5102"/>
          </w:tcPr>
          <w:p>
            <w:pPr>
              <w:jc w:val="left"/>
            </w:pPr>
            <w:r/>
            <w:r>
              <w:rPr>
                <w:rFonts w:ascii="Arial" w:hAnsi="Arial" w:eastAsia="Arial"/>
                <w:b w:val="0"/>
                <w:i w:val="0"/>
                <w:color w:val="000000"/>
                <w:sz w:val="20"/>
              </w:rPr>
              <w:t>Публічна формула прозорості; результат застосовується лише до рядків із сумісними одиницями та джерелами.</w:t>
            </w:r>
          </w:p>
        </w:tc>
        <w:tc>
          <w:tcPr>
            <w:tcW w:type="dxa" w:w="1247"/>
          </w:tcPr>
          <w:p>
            <w:pPr>
              <w:jc w:val="center"/>
            </w:pPr>
            <w:r/>
            <w:r>
              <w:rPr>
                <w:rFonts w:ascii="Arial" w:hAnsi="Arial" w:eastAsia="Arial"/>
                <w:b w:val="0"/>
                <w:i w:val="0"/>
                <w:color w:val="000000"/>
                <w:sz w:val="20"/>
              </w:rPr>
            </w:r>
          </w:p>
        </w:tc>
      </w:tr>
    </w:tbl>
    <w:p>
      <w:pPr>
        <w:pStyle w:val="Heading1"/>
      </w:pPr>
      <w:r>
        <w:rPr>
          <w:rFonts w:ascii="Arial" w:hAnsi="Arial" w:eastAsia="Arial"/>
          <w:b/>
          <w:i w:val="0"/>
          <w:color w:val="000000"/>
          <w:sz w:val="44"/>
        </w:rPr>
        <w:t>Кумулятивна втрата можливостей до 2030 і 2035 року</w:t>
      </w:r>
    </w:p>
    <w:p>
      <w:pPr>
        <w:jc w:val="both"/>
      </w:pPr>
      <w:r>
        <w:rPr>
          <w:rFonts w:ascii="Arial" w:hAnsi="Arial" w:eastAsia="Arial"/>
          <w:b w:val="0"/>
          <w:i w:val="0"/>
          <w:color w:val="000000"/>
          <w:sz w:val="24"/>
        </w:rPr>
        <w:t>Кумулятивна втрата можливостей - це різниця між тим, що економіка могла б виробити, експортувати, оподаткувати або забезпечити роботою за контрольної траєкторії, і тим, що вона створює за інерційного продовження обмежень. [1] Цей вимір не є зафіксованою шкодою станом на сьогодні. Він є способом показати ціну відкладених рішень.</w:t>
      </w:r>
    </w:p>
    <w:p>
      <w:pPr>
        <w:jc w:val="both"/>
      </w:pPr>
      <w:r>
        <w:rPr>
          <w:rFonts w:ascii="Arial" w:hAnsi="Arial" w:eastAsia="Arial"/>
          <w:b w:val="0"/>
          <w:i w:val="0"/>
          <w:color w:val="000000"/>
          <w:sz w:val="24"/>
        </w:rPr>
        <w:t xml:space="preserve">Для горизонту 2035 цей розрив стає стратегічним: [1] OECD оцінює, що реконструкція України потребує додаткового щорічного інвестиційного зусилля понад </w:t>
      </w:r>
      <w:hyperlink r:id="rId13">
        <w:r>
          <w:rPr>
            <w:rFonts w:ascii="Arial" w:hAnsi="Arial" w:eastAsia="Arial"/>
            <w:sz w:val="24"/>
            <w:color w:val="0000EE"/>
            <w:u w:val="single"/>
          </w:rPr>
          <w:t>20%</w:t>
        </w:r>
      </w:hyperlink>
      <w:r>
        <w:rPr>
          <w:rFonts w:ascii="Arial" w:hAnsi="Arial" w:eastAsia="Arial"/>
          <w:b w:val="0"/>
          <w:i w:val="0"/>
          <w:color w:val="000000"/>
          <w:sz w:val="24"/>
        </w:rPr>
        <w:t xml:space="preserve"> ВВП, а Ukraine Facility створює багаторічну фінансову рамку підтримки.</w:t>
      </w:r>
    </w:p>
    <w:p>
      <w:pPr>
        <w:jc w:val="both"/>
      </w:pPr>
      <w:r>
        <w:rPr>
          <w:rFonts w:ascii="Arial" w:hAnsi="Arial" w:eastAsia="Arial"/>
          <w:b w:val="0"/>
          <w:i w:val="0"/>
          <w:color w:val="000000"/>
          <w:sz w:val="24"/>
        </w:rPr>
        <w:t>Кумулятивний показник має бути коридором, а не одним числом. [1] Нижня межа застосовується там, де дані сильні і відновлення швидше; верхня - там, де сектор має фізичні втрати, кадровий дефіцит, логістичні вузькі місця або імпортозалежну реконструкцію. Кожний коридор має пояснювати базу, інерційну траєкторію, джерела, одиницю і рівень довіри.</w:t>
      </w:r>
    </w:p>
    <w:tbl>
      <w:tblPr>
        <w:tblStyle w:val="TableGrid"/>
        <w:tblW w:type="auto" w:w="0"/>
        <w:jc w:val="left"/>
        <w:tblLayout w:type="fixed"/>
        <w:tblLook w:firstColumn="1" w:firstRow="1" w:lastColumn="0" w:lastRow="0" w:noHBand="0" w:noVBand="1" w:val="04A0"/>
      </w:tblPr>
      <w:tblGrid>
        <w:gridCol w:w="3249"/>
        <w:gridCol w:w="3249"/>
        <w:gridCol w:w="3249"/>
      </w:tblGrid>
      <w:tr>
        <w:tc>
          <w:tcPr>
            <w:tcW w:type="dxa" w:w="2721"/>
          </w:tcPr>
          <w:p>
            <w:pPr>
              <w:jc w:val="left"/>
            </w:pPr>
            <w:r/>
            <w:r>
              <w:rPr>
                <w:rFonts w:ascii="Arial" w:hAnsi="Arial" w:eastAsia="Arial"/>
                <w:b/>
                <w:i w:val="0"/>
                <w:color w:val="000000"/>
                <w:sz w:val="20"/>
              </w:rPr>
              <w:t>Формула</w:t>
            </w:r>
          </w:p>
        </w:tc>
        <w:tc>
          <w:tcPr>
            <w:tcW w:type="dxa" w:w="5102"/>
          </w:tcPr>
          <w:p>
            <w:pPr>
              <w:jc w:val="left"/>
            </w:pPr>
            <w:r/>
            <w:r>
              <w:rPr>
                <w:rFonts w:ascii="Arial" w:hAnsi="Arial" w:eastAsia="Arial"/>
                <w:b/>
                <w:i w:val="0"/>
                <w:color w:val="000000"/>
                <w:sz w:val="20"/>
              </w:rPr>
              <w:t>Кумулятивна втрата можливостей = Σ(базова траєкторія року t − інерційна траєкторія року t)</w:t>
            </w:r>
          </w:p>
        </w:tc>
        <w:tc>
          <w:tcPr>
            <w:tcW w:type="dxa" w:w="1247"/>
          </w:tcPr>
          <w:p>
            <w:pPr>
              <w:jc w:val="left"/>
            </w:pPr>
            <w:r/>
            <w:r>
              <w:rPr>
                <w:rFonts w:ascii="Arial" w:hAnsi="Arial" w:eastAsia="Arial"/>
                <w:b/>
                <w:i w:val="0"/>
                <w:color w:val="000000"/>
                <w:sz w:val="20"/>
              </w:rPr>
              <w:t>Опора</w:t>
            </w:r>
          </w:p>
        </w:tc>
      </w:tr>
      <w:tr>
        <w:tc>
          <w:tcPr>
            <w:tcW w:type="dxa" w:w="2721"/>
          </w:tcPr>
          <w:p>
            <w:pPr>
              <w:jc w:val="left"/>
            </w:pPr>
            <w:r/>
            <w:r>
              <w:rPr>
                <w:rFonts w:ascii="Arial" w:hAnsi="Arial" w:eastAsia="Arial"/>
                <w:b w:val="0"/>
                <w:i w:val="0"/>
                <w:color w:val="000000"/>
                <w:sz w:val="20"/>
              </w:rPr>
              <w:t>Позначення</w:t>
            </w:r>
          </w:p>
        </w:tc>
        <w:tc>
          <w:tcPr>
            <w:tcW w:type="dxa" w:w="5102"/>
          </w:tcPr>
          <w:p>
            <w:pPr>
              <w:jc w:val="left"/>
            </w:pPr>
            <w:r/>
            <w:r>
              <w:rPr>
                <w:rFonts w:ascii="Arial" w:hAnsi="Arial" w:eastAsia="Arial"/>
                <w:b w:val="0"/>
                <w:i w:val="0"/>
                <w:color w:val="000000"/>
                <w:sz w:val="20"/>
              </w:rPr>
              <w:t>Сума береться за роками прогнозного горизонту; базова траєкторія є контрольним порівнянням; інерційна траєкторія - продовження поточних обмежень.</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Джерельне правило</w:t>
            </w:r>
          </w:p>
        </w:tc>
        <w:tc>
          <w:tcPr>
            <w:tcW w:type="dxa" w:w="5102"/>
          </w:tcPr>
          <w:p>
            <w:pPr>
              <w:jc w:val="left"/>
            </w:pPr>
            <w:r/>
            <w:r>
              <w:rPr>
                <w:rFonts w:ascii="Arial" w:hAnsi="Arial" w:eastAsia="Arial"/>
                <w:b w:val="0"/>
                <w:i w:val="0"/>
                <w:color w:val="000000"/>
                <w:sz w:val="20"/>
              </w:rPr>
              <w:t>Для макро-деномінаторів застосовуються , , ; для секторних входів - відповідні секторні ID джерела та первинний ID графіка.: MINFIN_Ukraine_GDP.xlsx; IMF; NBU</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Застереження</w:t>
            </w:r>
          </w:p>
        </w:tc>
        <w:tc>
          <w:tcPr>
            <w:tcW w:type="dxa" w:w="5102"/>
          </w:tcPr>
          <w:p>
            <w:pPr>
              <w:jc w:val="left"/>
            </w:pPr>
            <w:r/>
            <w:r>
              <w:rPr>
                <w:rFonts w:ascii="Arial" w:hAnsi="Arial" w:eastAsia="Arial"/>
                <w:b w:val="0"/>
                <w:i w:val="0"/>
                <w:color w:val="000000"/>
                <w:sz w:val="20"/>
              </w:rPr>
              <w:t>Кумулятивна втрата можливостей не є спостережна втрата; її треба подавати як діапазон або індекс, якщо бракує повної нормалізації.</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Інтерпретація</w:t>
            </w:r>
          </w:p>
        </w:tc>
        <w:tc>
          <w:tcPr>
            <w:tcW w:type="dxa" w:w="5102"/>
          </w:tcPr>
          <w:p>
            <w:pPr>
              <w:jc w:val="left"/>
            </w:pPr>
            <w:r/>
            <w:r>
              <w:rPr>
                <w:rFonts w:ascii="Arial" w:hAnsi="Arial" w:eastAsia="Arial"/>
                <w:b w:val="0"/>
                <w:i w:val="0"/>
                <w:color w:val="000000"/>
                <w:sz w:val="20"/>
              </w:rPr>
              <w:t>Формула показує ціну інерції до 2030 і 2035 років.</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Статус</w:t>
            </w:r>
          </w:p>
        </w:tc>
        <w:tc>
          <w:tcPr>
            <w:tcW w:type="dxa" w:w="5102"/>
          </w:tcPr>
          <w:p>
            <w:pPr>
              <w:jc w:val="left"/>
            </w:pPr>
            <w:r/>
            <w:r>
              <w:rPr>
                <w:rFonts w:ascii="Arial" w:hAnsi="Arial" w:eastAsia="Arial"/>
                <w:b w:val="0"/>
                <w:i w:val="0"/>
                <w:color w:val="000000"/>
                <w:sz w:val="20"/>
              </w:rPr>
              <w:t>Публічна формула прозорості; результат застосовується лише до рядків із сумісними одиницями та джерелами.</w:t>
            </w:r>
          </w:p>
        </w:tc>
        <w:tc>
          <w:tcPr>
            <w:tcW w:type="dxa" w:w="1247"/>
          </w:tcPr>
          <w:p>
            <w:pPr>
              <w:jc w:val="center"/>
            </w:pPr>
            <w:r/>
            <w:r>
              <w:rPr>
                <w:rFonts w:ascii="Arial" w:hAnsi="Arial" w:eastAsia="Arial"/>
                <w:b w:val="0"/>
                <w:i w:val="0"/>
                <w:color w:val="000000"/>
                <w:sz w:val="20"/>
              </w:rPr>
            </w:r>
          </w:p>
        </w:tc>
      </w:tr>
    </w:tbl>
    <w:tbl>
      <w:tblPr>
        <w:tblStyle w:val="TableGrid"/>
        <w:tblW w:type="auto" w:w="0"/>
        <w:jc w:val="left"/>
        <w:tblLayout w:type="fixed"/>
        <w:tblLook w:firstColumn="1" w:firstRow="1" w:lastColumn="0" w:lastRow="0" w:noHBand="0" w:noVBand="1" w:val="04A0"/>
      </w:tblPr>
      <w:tblGrid>
        <w:gridCol w:w="3249"/>
        <w:gridCol w:w="3249"/>
        <w:gridCol w:w="3249"/>
      </w:tblGrid>
      <w:tr>
        <w:tc>
          <w:tcPr>
            <w:tcW w:type="dxa" w:w="2721"/>
          </w:tcPr>
          <w:p>
            <w:pPr>
              <w:jc w:val="left"/>
            </w:pPr>
            <w:r/>
            <w:r>
              <w:rPr>
                <w:rFonts w:ascii="Arial" w:hAnsi="Arial" w:eastAsia="Arial"/>
                <w:b/>
                <w:i w:val="0"/>
                <w:color w:val="000000"/>
                <w:sz w:val="20"/>
              </w:rPr>
              <w:t>Формула</w:t>
            </w:r>
          </w:p>
        </w:tc>
        <w:tc>
          <w:tcPr>
            <w:tcW w:type="dxa" w:w="5102"/>
          </w:tcPr>
          <w:p>
            <w:pPr>
              <w:jc w:val="left"/>
            </w:pPr>
            <w:r/>
            <w:r>
              <w:rPr>
                <w:rFonts w:ascii="Arial" w:hAnsi="Arial" w:eastAsia="Arial"/>
                <w:b/>
                <w:i w:val="0"/>
                <w:color w:val="000000"/>
                <w:sz w:val="20"/>
              </w:rPr>
              <w:t>Коридор втрат = [мінімальна оцінка; центральна оцінка; максимальна оцінка]</w:t>
            </w:r>
          </w:p>
        </w:tc>
        <w:tc>
          <w:tcPr>
            <w:tcW w:type="dxa" w:w="1247"/>
          </w:tcPr>
          <w:p>
            <w:pPr>
              <w:jc w:val="left"/>
            </w:pPr>
            <w:r/>
            <w:r>
              <w:rPr>
                <w:rFonts w:ascii="Arial" w:hAnsi="Arial" w:eastAsia="Arial"/>
                <w:b/>
                <w:i w:val="0"/>
                <w:color w:val="000000"/>
                <w:sz w:val="20"/>
              </w:rPr>
              <w:t>Опора</w:t>
            </w:r>
          </w:p>
        </w:tc>
      </w:tr>
      <w:tr>
        <w:tc>
          <w:tcPr>
            <w:tcW w:type="dxa" w:w="2721"/>
          </w:tcPr>
          <w:p>
            <w:pPr>
              <w:jc w:val="left"/>
            </w:pPr>
            <w:r/>
            <w:r>
              <w:rPr>
                <w:rFonts w:ascii="Arial" w:hAnsi="Arial" w:eastAsia="Arial"/>
                <w:b w:val="0"/>
                <w:i w:val="0"/>
                <w:color w:val="000000"/>
                <w:sz w:val="20"/>
              </w:rPr>
              <w:t>Позначення</w:t>
            </w:r>
          </w:p>
        </w:tc>
        <w:tc>
          <w:tcPr>
            <w:tcW w:type="dxa" w:w="5102"/>
          </w:tcPr>
          <w:p>
            <w:pPr>
              <w:jc w:val="left"/>
            </w:pPr>
            <w:r/>
            <w:r>
              <w:rPr>
                <w:rFonts w:ascii="Arial" w:hAnsi="Arial" w:eastAsia="Arial"/>
                <w:b w:val="0"/>
                <w:i w:val="0"/>
                <w:color w:val="000000"/>
                <w:sz w:val="20"/>
              </w:rPr>
              <w:t>Мінімальна оцінка - швидше відновлення або сильніші дані; центральна - базове інерційне припущення; максимальна - довші обмеження, вища невизначеність або нижча якість даних.</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Джерельне правило</w:t>
            </w:r>
          </w:p>
        </w:tc>
        <w:tc>
          <w:tcPr>
            <w:tcW w:type="dxa" w:w="5102"/>
          </w:tcPr>
          <w:p>
            <w:pPr>
              <w:jc w:val="left"/>
            </w:pPr>
            <w:r/>
            <w:r>
              <w:rPr>
                <w:rFonts w:ascii="Arial" w:hAnsi="Arial" w:eastAsia="Arial"/>
                <w:b w:val="0"/>
                <w:i w:val="0"/>
                <w:color w:val="000000"/>
                <w:sz w:val="20"/>
              </w:rPr>
              <w:t>Кожна межа має прив’язку до джерела, припущення і періоду; макроякорі - , .: IMF; NBU</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Застереження</w:t>
            </w:r>
          </w:p>
        </w:tc>
        <w:tc>
          <w:tcPr>
            <w:tcW w:type="dxa" w:w="5102"/>
          </w:tcPr>
          <w:p>
            <w:pPr>
              <w:jc w:val="left"/>
            </w:pPr>
            <w:r/>
            <w:r>
              <w:rPr>
                <w:rFonts w:ascii="Arial" w:hAnsi="Arial" w:eastAsia="Arial"/>
                <w:b w:val="0"/>
                <w:i w:val="0"/>
                <w:color w:val="000000"/>
                <w:sz w:val="20"/>
              </w:rPr>
              <w:t>Коридор не можна читати як точний прогноз; це інструмент чутливості.</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Інтерпретація</w:t>
            </w:r>
          </w:p>
        </w:tc>
        <w:tc>
          <w:tcPr>
            <w:tcW w:type="dxa" w:w="5102"/>
          </w:tcPr>
          <w:p>
            <w:pPr>
              <w:jc w:val="left"/>
            </w:pPr>
            <w:r/>
            <w:r>
              <w:rPr>
                <w:rFonts w:ascii="Arial" w:hAnsi="Arial" w:eastAsia="Arial"/>
                <w:b w:val="0"/>
                <w:i w:val="0"/>
                <w:color w:val="000000"/>
                <w:sz w:val="20"/>
              </w:rPr>
              <w:t>Формула дозволяє показувати невизначеність чесно і не приховувати слабкі ряди.</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Статус</w:t>
            </w:r>
          </w:p>
        </w:tc>
        <w:tc>
          <w:tcPr>
            <w:tcW w:type="dxa" w:w="5102"/>
          </w:tcPr>
          <w:p>
            <w:pPr>
              <w:jc w:val="left"/>
            </w:pPr>
            <w:r/>
            <w:r>
              <w:rPr>
                <w:rFonts w:ascii="Arial" w:hAnsi="Arial" w:eastAsia="Arial"/>
                <w:b w:val="0"/>
                <w:i w:val="0"/>
                <w:color w:val="000000"/>
                <w:sz w:val="20"/>
              </w:rPr>
              <w:t>Публічна формула прозорості; результат застосовується лише до рядків із сумісними одиницями та джерелами.</w:t>
            </w:r>
          </w:p>
        </w:tc>
        <w:tc>
          <w:tcPr>
            <w:tcW w:type="dxa" w:w="1247"/>
          </w:tcPr>
          <w:p>
            <w:pPr>
              <w:jc w:val="center"/>
            </w:pPr>
            <w:r/>
            <w:r>
              <w:rPr>
                <w:rFonts w:ascii="Arial" w:hAnsi="Arial" w:eastAsia="Arial"/>
                <w:b w:val="0"/>
                <w:i w:val="0"/>
                <w:color w:val="000000"/>
                <w:sz w:val="20"/>
              </w:rPr>
            </w:r>
          </w:p>
        </w:tc>
      </w:tr>
    </w:tbl>
    <w:p>
      <w:pPr>
        <w:pStyle w:val="Heading1"/>
      </w:pPr>
      <w:r>
        <w:rPr>
          <w:rFonts w:ascii="Arial" w:hAnsi="Arial" w:eastAsia="Arial"/>
          <w:b/>
          <w:i w:val="0"/>
          <w:color w:val="000000"/>
          <w:sz w:val="44"/>
        </w:rPr>
        <w:t>Невизначеність, довірчі рівні і межі джерел</w:t>
      </w:r>
    </w:p>
    <w:p>
      <w:pPr>
        <w:jc w:val="both"/>
      </w:pPr>
      <w:r>
        <w:rPr>
          <w:rFonts w:ascii="Arial" w:hAnsi="Arial" w:eastAsia="Arial"/>
          <w:b w:val="0"/>
          <w:i w:val="0"/>
          <w:color w:val="000000"/>
          <w:sz w:val="24"/>
        </w:rPr>
        <w:t>Тому кожна таблиця має довірчий рівень і застереження. [1]</w:t>
      </w:r>
    </w:p>
    <w:p>
      <w:pPr>
        <w:jc w:val="both"/>
      </w:pPr>
      <w:r>
        <w:rPr>
          <w:rFonts w:ascii="Arial" w:hAnsi="Arial" w:eastAsia="Arial"/>
          <w:b w:val="0"/>
          <w:i w:val="0"/>
          <w:color w:val="000000"/>
          <w:sz w:val="24"/>
        </w:rPr>
        <w:t>Високий довірчий рівень означає, що є офіційний або сильний публічний ряд, зрозумілий період і одиниця. [1] Середній означає, що джерело сильне, але ряд точковий, секторний або потребує нормалізації. Обмежений означає, що показник використовується лише як наближений показник. Прогалина даних означає, що ряд потрібний для цього блоку, але не має достатньої публічної бази для числового підсумку.</w:t>
      </w:r>
    </w:p>
    <w:tbl>
      <w:tblPr>
        <w:tblStyle w:val="TableGrid"/>
        <w:tblW w:type="auto" w:w="0"/>
        <w:jc w:val="left"/>
        <w:tblLayout w:type="fixed"/>
        <w:tblLook w:firstColumn="1" w:firstRow="1" w:lastColumn="0" w:lastRow="0" w:noHBand="0" w:noVBand="1" w:val="04A0"/>
      </w:tblPr>
      <w:tblGrid>
        <w:gridCol w:w="4873"/>
        <w:gridCol w:w="4873"/>
      </w:tblGrid>
      <w:tr>
        <w:tc>
          <w:tcPr>
            <w:tcW w:type="dxa" w:w="7087"/>
          </w:tcPr>
          <w:p>
            <w:pPr>
              <w:jc w:val="left"/>
            </w:pPr>
            <w:r/>
            <w:r>
              <w:rPr>
                <w:rFonts w:ascii="Arial" w:hAnsi="Arial" w:eastAsia="Arial"/>
                <w:b/>
                <w:i w:val="0"/>
                <w:color w:val="000000"/>
                <w:sz w:val="20"/>
              </w:rPr>
              <w:t>Формула</w:t>
            </w:r>
          </w:p>
        </w:tc>
        <w:tc>
          <w:tcPr>
            <w:tcW w:type="dxa" w:w="1984"/>
          </w:tcPr>
          <w:p>
            <w:pPr>
              <w:jc w:val="left"/>
            </w:pPr>
            <w:r/>
            <w:r>
              <w:rPr>
                <w:rFonts w:ascii="Arial" w:hAnsi="Arial" w:eastAsia="Arial"/>
                <w:b/>
                <w:i w:val="0"/>
                <w:color w:val="000000"/>
                <w:sz w:val="20"/>
              </w:rPr>
              <w:t>Опора</w:t>
            </w:r>
          </w:p>
        </w:tc>
      </w:tr>
      <w:tr>
        <w:tc>
          <w:tcPr>
            <w:tcW w:type="dxa" w:w="7087"/>
          </w:tcPr>
          <w:p>
            <w:pPr>
              <w:jc w:val="left"/>
            </w:pPr>
            <w:r/>
            <w:r>
              <w:rPr>
                <w:rFonts w:ascii="Arial" w:hAnsi="Arial" w:eastAsia="Arial"/>
                <w:b w:val="0"/>
                <w:i w:val="0"/>
                <w:color w:val="000000"/>
                <w:sz w:val="20"/>
              </w:rPr>
              <w:t>Позначення</w:t>
            </w:r>
          </w:p>
        </w:tc>
        <w:tc>
          <w:tcPr>
            <w:tcW w:type="dxa" w:w="1984"/>
          </w:tcPr>
          <w:p>
            <w:pPr>
              <w:jc w:val="center"/>
            </w:pPr>
            <w:r/>
            <w:r>
              <w:rPr>
                <w:rFonts w:ascii="Arial" w:hAnsi="Arial" w:eastAsia="Arial"/>
                <w:b w:val="0"/>
                <w:i w:val="0"/>
                <w:color w:val="000000"/>
                <w:sz w:val="20"/>
              </w:rPr>
            </w:r>
          </w:p>
        </w:tc>
      </w:tr>
      <w:tr>
        <w:tc>
          <w:tcPr>
            <w:tcW w:type="dxa" w:w="7087"/>
          </w:tcPr>
          <w:p>
            <w:pPr>
              <w:jc w:val="left"/>
            </w:pPr>
            <w:r/>
            <w:r>
              <w:rPr>
                <w:rFonts w:ascii="Arial" w:hAnsi="Arial" w:eastAsia="Arial"/>
                <w:b w:val="0"/>
                <w:i w:val="0"/>
                <w:color w:val="000000"/>
                <w:sz w:val="20"/>
              </w:rPr>
              <w:t>Джерельне правило</w:t>
            </w:r>
          </w:p>
        </w:tc>
        <w:tc>
          <w:tcPr>
            <w:tcW w:type="dxa" w:w="1984"/>
          </w:tcPr>
          <w:p>
            <w:pPr>
              <w:jc w:val="center"/>
            </w:pPr>
            <w:r/>
            <w:r>
              <w:rPr>
                <w:rFonts w:ascii="Arial" w:hAnsi="Arial" w:eastAsia="Arial"/>
                <w:b w:val="0"/>
                <w:i w:val="0"/>
                <w:color w:val="000000"/>
                <w:sz w:val="20"/>
              </w:rPr>
            </w:r>
          </w:p>
        </w:tc>
      </w:tr>
      <w:tr>
        <w:tc>
          <w:tcPr>
            <w:tcW w:type="dxa" w:w="7087"/>
          </w:tcPr>
          <w:p>
            <w:pPr>
              <w:jc w:val="left"/>
            </w:pPr>
            <w:r/>
            <w:r>
              <w:rPr>
                <w:rFonts w:ascii="Arial" w:hAnsi="Arial" w:eastAsia="Arial"/>
                <w:b w:val="0"/>
                <w:i w:val="0"/>
                <w:color w:val="000000"/>
                <w:sz w:val="20"/>
              </w:rPr>
              <w:t>Застереження</w:t>
            </w:r>
          </w:p>
        </w:tc>
        <w:tc>
          <w:tcPr>
            <w:tcW w:type="dxa" w:w="1984"/>
          </w:tcPr>
          <w:p>
            <w:pPr>
              <w:jc w:val="center"/>
            </w:pPr>
            <w:r/>
            <w:r>
              <w:rPr>
                <w:rFonts w:ascii="Arial" w:hAnsi="Arial" w:eastAsia="Arial"/>
                <w:b w:val="0"/>
                <w:i w:val="0"/>
                <w:color w:val="000000"/>
                <w:sz w:val="20"/>
              </w:rPr>
            </w:r>
          </w:p>
        </w:tc>
      </w:tr>
      <w:tr>
        <w:tc>
          <w:tcPr>
            <w:tcW w:type="dxa" w:w="7087"/>
          </w:tcPr>
          <w:p>
            <w:pPr>
              <w:jc w:val="left"/>
            </w:pPr>
            <w:r/>
            <w:r>
              <w:rPr>
                <w:rFonts w:ascii="Arial" w:hAnsi="Arial" w:eastAsia="Arial"/>
                <w:b w:val="0"/>
                <w:i w:val="0"/>
                <w:color w:val="000000"/>
                <w:sz w:val="20"/>
              </w:rPr>
              <w:t>Інтерпретація</w:t>
            </w:r>
          </w:p>
        </w:tc>
        <w:tc>
          <w:tcPr>
            <w:tcW w:type="dxa" w:w="1984"/>
          </w:tcPr>
          <w:p>
            <w:pPr>
              <w:jc w:val="center"/>
            </w:pPr>
            <w:r/>
            <w:r>
              <w:rPr>
                <w:rFonts w:ascii="Arial" w:hAnsi="Arial" w:eastAsia="Arial"/>
                <w:b w:val="0"/>
                <w:i w:val="0"/>
                <w:color w:val="000000"/>
                <w:sz w:val="20"/>
              </w:rPr>
            </w:r>
          </w:p>
        </w:tc>
      </w:tr>
      <w:tr>
        <w:tc>
          <w:tcPr>
            <w:tcW w:type="dxa" w:w="7087"/>
          </w:tcPr>
          <w:p>
            <w:pPr>
              <w:jc w:val="left"/>
            </w:pPr>
            <w:r/>
            <w:r>
              <w:rPr>
                <w:rFonts w:ascii="Arial" w:hAnsi="Arial" w:eastAsia="Arial"/>
                <w:b w:val="0"/>
                <w:i w:val="0"/>
                <w:color w:val="000000"/>
                <w:sz w:val="20"/>
              </w:rPr>
              <w:t>Статус</w:t>
            </w:r>
          </w:p>
        </w:tc>
        <w:tc>
          <w:tcPr>
            <w:tcW w:type="dxa" w:w="1984"/>
          </w:tcPr>
          <w:p>
            <w:pPr>
              <w:jc w:val="center"/>
            </w:pPr>
            <w:r/>
            <w:r>
              <w:rPr>
                <w:rFonts w:ascii="Arial" w:hAnsi="Arial" w:eastAsia="Arial"/>
                <w:b w:val="0"/>
                <w:i w:val="0"/>
                <w:color w:val="000000"/>
                <w:sz w:val="20"/>
              </w:rPr>
            </w:r>
          </w:p>
        </w:tc>
      </w:tr>
    </w:tbl>
    <w:p>
      <w:pPr>
        <w:pStyle w:val="Heading1"/>
      </w:pPr>
      <w:r>
        <w:rPr>
          <w:rFonts w:ascii="Arial" w:hAnsi="Arial" w:eastAsia="Arial"/>
          <w:b/>
          <w:i w:val="0"/>
          <w:color w:val="000000"/>
          <w:sz w:val="44"/>
        </w:rPr>
        <w:t>Реєстр формул і методичних приміток</w:t>
      </w:r>
    </w:p>
    <w:tbl>
      <w:tblPr>
        <w:tblStyle w:val="TableGrid"/>
        <w:tblW w:type="auto" w:w="0"/>
        <w:jc w:val="left"/>
        <w:tblLayout w:type="fixed"/>
        <w:tblLook w:firstColumn="1" w:firstRow="1" w:lastColumn="0" w:lastRow="0" w:noHBand="0" w:noVBand="1" w:val="04A0"/>
      </w:tblPr>
      <w:tblGrid>
        <w:gridCol w:w="1624"/>
        <w:gridCol w:w="1624"/>
        <w:gridCol w:w="1624"/>
        <w:gridCol w:w="1624"/>
        <w:gridCol w:w="1624"/>
        <w:gridCol w:w="1624"/>
      </w:tblGrid>
      <w:tr>
        <w:tc>
          <w:tcPr>
            <w:tcW w:type="dxa" w:w="2041"/>
          </w:tcPr>
          <w:p>
            <w:pPr>
              <w:jc w:val="left"/>
            </w:pPr>
            <w:r/>
            <w:r>
              <w:rPr>
                <w:rFonts w:ascii="Arial" w:hAnsi="Arial" w:eastAsia="Arial"/>
                <w:b/>
                <w:i w:val="0"/>
                <w:color w:val="000000"/>
                <w:sz w:val="20"/>
              </w:rPr>
              <w:t>Перевірка</w:t>
            </w:r>
          </w:p>
        </w:tc>
        <w:tc>
          <w:tcPr>
            <w:tcW w:type="dxa" w:w="1559"/>
          </w:tcPr>
          <w:p>
            <w:pPr>
              <w:jc w:val="left"/>
            </w:pPr>
            <w:r/>
            <w:r>
              <w:rPr>
                <w:rFonts w:ascii="Arial" w:hAnsi="Arial" w:eastAsia="Arial"/>
                <w:b/>
                <w:i w:val="0"/>
                <w:color w:val="000000"/>
                <w:sz w:val="20"/>
              </w:rPr>
              <w:t>Так / ні</w:t>
            </w:r>
          </w:p>
        </w:tc>
        <w:tc>
          <w:tcPr>
            <w:tcW w:type="dxa" w:w="1559"/>
          </w:tcPr>
          <w:p>
            <w:pPr>
              <w:jc w:val="left"/>
            </w:pPr>
            <w:r/>
            <w:r>
              <w:rPr>
                <w:rFonts w:ascii="Arial" w:hAnsi="Arial" w:eastAsia="Arial"/>
                <w:b/>
                <w:i w:val="0"/>
                <w:color w:val="000000"/>
                <w:sz w:val="20"/>
              </w:rPr>
              <w:t>Що має бути видно</w:t>
            </w:r>
          </w:p>
        </w:tc>
        <w:tc>
          <w:tcPr>
            <w:tcW w:type="dxa" w:w="1559"/>
          </w:tcPr>
          <w:p>
            <w:pPr>
              <w:jc w:val="left"/>
            </w:pPr>
            <w:r/>
            <w:r>
              <w:rPr>
                <w:rFonts w:ascii="Arial" w:hAnsi="Arial" w:eastAsia="Arial"/>
                <w:b/>
                <w:i w:val="0"/>
                <w:color w:val="000000"/>
                <w:sz w:val="20"/>
              </w:rPr>
              <w:t>Якщо умова не виконана</w:t>
            </w:r>
          </w:p>
        </w:tc>
        <w:tc>
          <w:tcPr>
            <w:tcW w:type="dxa" w:w="1559"/>
          </w:tcPr>
          <w:p>
            <w:pPr>
              <w:jc w:val="left"/>
            </w:pPr>
            <w:r/>
            <w:r>
              <w:rPr>
                <w:rFonts w:ascii="Arial" w:hAnsi="Arial" w:eastAsia="Arial"/>
                <w:b/>
                <w:i w:val="0"/>
                <w:color w:val="000000"/>
                <w:sz w:val="20"/>
              </w:rPr>
              <w:t>Статус</w:t>
            </w:r>
          </w:p>
        </w:tc>
        <w:tc>
          <w:tcPr>
            <w:tcW w:type="dxa" w:w="794"/>
          </w:tcPr>
          <w:p>
            <w:pPr>
              <w:jc w:val="left"/>
            </w:pPr>
            <w:r/>
            <w:r>
              <w:rPr>
                <w:rFonts w:ascii="Arial" w:hAnsi="Arial" w:eastAsia="Arial"/>
                <w:b/>
                <w:i w:val="0"/>
                <w:color w:val="000000"/>
                <w:sz w:val="20"/>
              </w:rPr>
              <w:t>Опора</w:t>
            </w:r>
          </w:p>
        </w:tc>
      </w:tr>
      <w:tr>
        <w:tc>
          <w:tcPr>
            <w:tcW w:type="dxa" w:w="2041"/>
          </w:tcPr>
          <w:p>
            <w:pPr>
              <w:jc w:val="left"/>
            </w:pPr>
            <w:r/>
            <w:r>
              <w:rPr>
                <w:rFonts w:ascii="Arial" w:hAnsi="Arial" w:eastAsia="Arial"/>
                <w:b w:val="0"/>
                <w:i w:val="0"/>
                <w:color w:val="000000"/>
                <w:sz w:val="20"/>
              </w:rPr>
              <w:t>Є ID джерела?</w:t>
            </w:r>
          </w:p>
        </w:tc>
        <w:tc>
          <w:tcPr>
            <w:tcW w:type="dxa" w:w="1559"/>
          </w:tcPr>
          <w:p>
            <w:pPr>
              <w:jc w:val="left"/>
            </w:pPr>
            <w:r/>
            <w:r>
              <w:rPr>
                <w:rFonts w:ascii="Arial" w:hAnsi="Arial" w:eastAsia="Arial"/>
                <w:b w:val="0"/>
                <w:i w:val="0"/>
                <w:color w:val="000000"/>
                <w:sz w:val="20"/>
              </w:rPr>
              <w:t>так</w:t>
            </w:r>
          </w:p>
        </w:tc>
        <w:tc>
          <w:tcPr>
            <w:tcW w:type="dxa" w:w="1559"/>
          </w:tcPr>
          <w:p>
            <w:pPr>
              <w:jc w:val="left"/>
            </w:pPr>
            <w:r/>
            <w:r>
              <w:rPr>
                <w:rFonts w:ascii="Arial" w:hAnsi="Arial" w:eastAsia="Arial"/>
                <w:b w:val="0"/>
                <w:i w:val="0"/>
                <w:color w:val="000000"/>
                <w:sz w:val="20"/>
              </w:rPr>
              <w:t>S### або видиме джерело у списку посилань</w:t>
            </w:r>
          </w:p>
        </w:tc>
        <w:tc>
          <w:tcPr>
            <w:tcW w:type="dxa" w:w="1559"/>
          </w:tcPr>
          <w:p>
            <w:pPr>
              <w:jc w:val="left"/>
            </w:pPr>
            <w:r/>
            <w:r>
              <w:rPr>
                <w:rFonts w:ascii="Arial" w:hAnsi="Arial" w:eastAsia="Arial"/>
                <w:b w:val="0"/>
                <w:i w:val="0"/>
                <w:color w:val="000000"/>
                <w:sz w:val="20"/>
              </w:rPr>
              <w:t>не використовувати як факт</w:t>
            </w:r>
          </w:p>
        </w:tc>
        <w:tc>
          <w:tcPr>
            <w:tcW w:type="dxa" w:w="1559"/>
          </w:tcPr>
          <w:p>
            <w:pPr>
              <w:jc w:val="left"/>
            </w:pPr>
            <w:r/>
            <w:r>
              <w:rPr>
                <w:rFonts w:ascii="Arial" w:hAnsi="Arial" w:eastAsia="Arial"/>
                <w:b w:val="0"/>
                <w:i w:val="0"/>
                <w:color w:val="000000"/>
                <w:sz w:val="20"/>
              </w:rPr>
              <w:t>обов’язково</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Є період?</w:t>
            </w:r>
          </w:p>
        </w:tc>
        <w:tc>
          <w:tcPr>
            <w:tcW w:type="dxa" w:w="1559"/>
          </w:tcPr>
          <w:p>
            <w:pPr>
              <w:jc w:val="left"/>
            </w:pPr>
            <w:r/>
            <w:r>
              <w:rPr>
                <w:rFonts w:ascii="Arial" w:hAnsi="Arial" w:eastAsia="Arial"/>
                <w:b w:val="0"/>
                <w:i w:val="0"/>
                <w:color w:val="000000"/>
                <w:sz w:val="20"/>
              </w:rPr>
              <w:t>так</w:t>
            </w:r>
          </w:p>
        </w:tc>
        <w:tc>
          <w:tcPr>
            <w:tcW w:type="dxa" w:w="1559"/>
          </w:tcPr>
          <w:p>
            <w:pPr>
              <w:jc w:val="left"/>
            </w:pPr>
            <w:r/>
            <w:r>
              <w:rPr>
                <w:rFonts w:ascii="Arial" w:hAnsi="Arial" w:eastAsia="Arial"/>
                <w:b w:val="0"/>
                <w:i w:val="0"/>
                <w:color w:val="000000"/>
                <w:sz w:val="20"/>
              </w:rPr>
              <w:t>2020-2025 або 2030/2035 для сценарного продовження</w:t>
            </w:r>
          </w:p>
        </w:tc>
        <w:tc>
          <w:tcPr>
            <w:tcW w:type="dxa" w:w="1559"/>
          </w:tcPr>
          <w:p>
            <w:pPr>
              <w:jc w:val="left"/>
            </w:pPr>
            <w:r/>
            <w:r>
              <w:rPr>
                <w:rFonts w:ascii="Arial" w:hAnsi="Arial" w:eastAsia="Arial"/>
                <w:b w:val="0"/>
                <w:i w:val="0"/>
                <w:color w:val="000000"/>
                <w:sz w:val="20"/>
              </w:rPr>
              <w:t>позначити gap</w:t>
            </w:r>
          </w:p>
        </w:tc>
        <w:tc>
          <w:tcPr>
            <w:tcW w:type="dxa" w:w="1559"/>
          </w:tcPr>
          <w:p>
            <w:pPr>
              <w:jc w:val="left"/>
            </w:pPr>
            <w:r/>
            <w:r>
              <w:rPr>
                <w:rFonts w:ascii="Arial" w:hAnsi="Arial" w:eastAsia="Arial"/>
                <w:b w:val="0"/>
                <w:i w:val="0"/>
                <w:color w:val="000000"/>
                <w:sz w:val="20"/>
              </w:rPr>
              <w:t>обов’язково</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Є одиниця?</w:t>
            </w:r>
          </w:p>
        </w:tc>
        <w:tc>
          <w:tcPr>
            <w:tcW w:type="dxa" w:w="1559"/>
          </w:tcPr>
          <w:p>
            <w:pPr>
              <w:jc w:val="left"/>
            </w:pPr>
            <w:r/>
            <w:r>
              <w:rPr>
                <w:rFonts w:ascii="Arial" w:hAnsi="Arial" w:eastAsia="Arial"/>
                <w:b w:val="0"/>
                <w:i w:val="0"/>
                <w:color w:val="000000"/>
                <w:sz w:val="20"/>
              </w:rPr>
              <w:t>так</w:t>
            </w:r>
          </w:p>
        </w:tc>
        <w:tc>
          <w:tcPr>
            <w:tcW w:type="dxa" w:w="1559"/>
          </w:tcPr>
          <w:p>
            <w:pPr>
              <w:jc w:val="left"/>
            </w:pPr>
            <w:r/>
            <w:r>
              <w:rPr>
                <w:rFonts w:ascii="Arial" w:hAnsi="Arial" w:eastAsia="Arial"/>
                <w:b w:val="0"/>
                <w:i w:val="0"/>
                <w:color w:val="000000"/>
                <w:sz w:val="20"/>
              </w:rPr>
              <w:t>т, грн, USD, люди, індекс</w:t>
            </w:r>
          </w:p>
        </w:tc>
        <w:tc>
          <w:tcPr>
            <w:tcW w:type="dxa" w:w="1559"/>
          </w:tcPr>
          <w:p>
            <w:pPr>
              <w:jc w:val="left"/>
            </w:pPr>
            <w:r/>
            <w:r>
              <w:rPr>
                <w:rFonts w:ascii="Arial" w:hAnsi="Arial" w:eastAsia="Arial"/>
                <w:b w:val="0"/>
                <w:i w:val="0"/>
                <w:color w:val="000000"/>
                <w:sz w:val="20"/>
              </w:rPr>
              <w:t>не додавати до інших одиниць</w:t>
            </w:r>
          </w:p>
        </w:tc>
        <w:tc>
          <w:tcPr>
            <w:tcW w:type="dxa" w:w="1559"/>
          </w:tcPr>
          <w:p>
            <w:pPr>
              <w:jc w:val="left"/>
            </w:pPr>
            <w:r/>
            <w:r>
              <w:rPr>
                <w:rFonts w:ascii="Arial" w:hAnsi="Arial" w:eastAsia="Arial"/>
                <w:b w:val="0"/>
                <w:i w:val="0"/>
                <w:color w:val="000000"/>
                <w:sz w:val="20"/>
              </w:rPr>
              <w:t>обов’язково</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Є база порівняння?</w:t>
            </w:r>
          </w:p>
        </w:tc>
        <w:tc>
          <w:tcPr>
            <w:tcW w:type="dxa" w:w="1559"/>
          </w:tcPr>
          <w:p>
            <w:pPr>
              <w:jc w:val="left"/>
            </w:pPr>
            <w:r/>
            <w:r>
              <w:rPr>
                <w:rFonts w:ascii="Arial" w:hAnsi="Arial" w:eastAsia="Arial"/>
                <w:b w:val="0"/>
                <w:i w:val="0"/>
                <w:color w:val="000000"/>
                <w:sz w:val="20"/>
              </w:rPr>
              <w:t>так</w:t>
            </w:r>
          </w:p>
        </w:tc>
        <w:tc>
          <w:tcPr>
            <w:tcW w:type="dxa" w:w="1559"/>
          </w:tcPr>
          <w:p>
            <w:pPr>
              <w:jc w:val="left"/>
            </w:pPr>
            <w:r/>
            <w:r>
              <w:rPr>
                <w:rFonts w:ascii="Arial" w:hAnsi="Arial" w:eastAsia="Arial"/>
                <w:b w:val="0"/>
                <w:i w:val="0"/>
                <w:color w:val="000000"/>
                <w:sz w:val="20"/>
              </w:rPr>
              <w:t>довоєнна, нормована, потужність або контрольний тренд</w:t>
            </w:r>
          </w:p>
        </w:tc>
        <w:tc>
          <w:tcPr>
            <w:tcW w:type="dxa" w:w="1559"/>
          </w:tcPr>
          <w:p>
            <w:pPr>
              <w:jc w:val="left"/>
            </w:pPr>
            <w:r/>
            <w:r>
              <w:rPr>
                <w:rFonts w:ascii="Arial" w:hAnsi="Arial" w:eastAsia="Arial"/>
                <w:b w:val="0"/>
                <w:i w:val="0"/>
                <w:color w:val="000000"/>
                <w:sz w:val="20"/>
              </w:rPr>
              <w:t>не рахувати gap</w:t>
            </w:r>
          </w:p>
        </w:tc>
        <w:tc>
          <w:tcPr>
            <w:tcW w:type="dxa" w:w="1559"/>
          </w:tcPr>
          <w:p>
            <w:pPr>
              <w:jc w:val="left"/>
            </w:pPr>
            <w:r/>
            <w:r>
              <w:rPr>
                <w:rFonts w:ascii="Arial" w:hAnsi="Arial" w:eastAsia="Arial"/>
                <w:b w:val="0"/>
                <w:i w:val="0"/>
                <w:color w:val="000000"/>
                <w:sz w:val="20"/>
              </w:rPr>
              <w:t>обов’язково</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Є застереження?</w:t>
            </w:r>
          </w:p>
        </w:tc>
        <w:tc>
          <w:tcPr>
            <w:tcW w:type="dxa" w:w="1559"/>
          </w:tcPr>
          <w:p>
            <w:pPr>
              <w:jc w:val="left"/>
            </w:pPr>
            <w:r/>
            <w:r>
              <w:rPr>
                <w:rFonts w:ascii="Arial" w:hAnsi="Arial" w:eastAsia="Arial"/>
                <w:b w:val="0"/>
                <w:i w:val="0"/>
                <w:color w:val="000000"/>
                <w:sz w:val="20"/>
              </w:rPr>
              <w:t>так</w:t>
            </w:r>
          </w:p>
        </w:tc>
        <w:tc>
          <w:tcPr>
            <w:tcW w:type="dxa" w:w="1559"/>
          </w:tcPr>
          <w:p>
            <w:pPr>
              <w:jc w:val="left"/>
            </w:pPr>
            <w:r/>
            <w:r>
              <w:rPr>
                <w:rFonts w:ascii="Arial" w:hAnsi="Arial" w:eastAsia="Arial"/>
                <w:b w:val="0"/>
                <w:i w:val="0"/>
                <w:color w:val="000000"/>
                <w:sz w:val="20"/>
              </w:rPr>
              <w:t>межа джерела або методу</w:t>
            </w:r>
          </w:p>
        </w:tc>
        <w:tc>
          <w:tcPr>
            <w:tcW w:type="dxa" w:w="1559"/>
          </w:tcPr>
          <w:p>
            <w:pPr>
              <w:jc w:val="left"/>
            </w:pPr>
            <w:r/>
            <w:r>
              <w:rPr>
                <w:rFonts w:ascii="Arial" w:hAnsi="Arial" w:eastAsia="Arial"/>
                <w:b w:val="0"/>
                <w:i w:val="0"/>
                <w:color w:val="000000"/>
                <w:sz w:val="20"/>
              </w:rPr>
              <w:t>додати перед публікацією</w:t>
            </w:r>
          </w:p>
        </w:tc>
        <w:tc>
          <w:tcPr>
            <w:tcW w:type="dxa" w:w="1559"/>
          </w:tcPr>
          <w:p>
            <w:pPr>
              <w:jc w:val="left"/>
            </w:pPr>
            <w:r/>
            <w:r>
              <w:rPr>
                <w:rFonts w:ascii="Arial" w:hAnsi="Arial" w:eastAsia="Arial"/>
                <w:b w:val="0"/>
                <w:i w:val="0"/>
                <w:color w:val="000000"/>
                <w:sz w:val="20"/>
              </w:rPr>
              <w:t>обов’язково</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Є правило подвійного рахунку?</w:t>
            </w:r>
          </w:p>
        </w:tc>
        <w:tc>
          <w:tcPr>
            <w:tcW w:type="dxa" w:w="1559"/>
          </w:tcPr>
          <w:p>
            <w:pPr>
              <w:jc w:val="left"/>
            </w:pPr>
            <w:r/>
            <w:r>
              <w:rPr>
                <w:rFonts w:ascii="Arial" w:hAnsi="Arial" w:eastAsia="Arial"/>
                <w:b w:val="0"/>
                <w:i w:val="0"/>
                <w:color w:val="000000"/>
                <w:sz w:val="20"/>
              </w:rPr>
              <w:t>так</w:t>
            </w:r>
          </w:p>
        </w:tc>
        <w:tc>
          <w:tcPr>
            <w:tcW w:type="dxa" w:w="1559"/>
          </w:tcPr>
          <w:p>
            <w:pPr>
              <w:jc w:val="left"/>
            </w:pPr>
            <w:r/>
            <w:r>
              <w:rPr>
                <w:rFonts w:ascii="Arial" w:hAnsi="Arial" w:eastAsia="Arial"/>
                <w:b w:val="0"/>
                <w:i w:val="0"/>
                <w:color w:val="000000"/>
                <w:sz w:val="20"/>
              </w:rPr>
              <w:t>D1-T07 або формула D1-F08</w:t>
            </w:r>
          </w:p>
        </w:tc>
        <w:tc>
          <w:tcPr>
            <w:tcW w:type="dxa" w:w="1559"/>
          </w:tcPr>
          <w:p>
            <w:pPr>
              <w:jc w:val="left"/>
            </w:pPr>
            <w:r/>
            <w:r>
              <w:rPr>
                <w:rFonts w:ascii="Arial" w:hAnsi="Arial" w:eastAsia="Arial"/>
                <w:b w:val="0"/>
                <w:i w:val="0"/>
                <w:color w:val="000000"/>
                <w:sz w:val="20"/>
              </w:rPr>
              <w:t>не робити підсумок</w:t>
            </w:r>
          </w:p>
        </w:tc>
        <w:tc>
          <w:tcPr>
            <w:tcW w:type="dxa" w:w="1559"/>
          </w:tcPr>
          <w:p>
            <w:pPr>
              <w:jc w:val="left"/>
            </w:pPr>
            <w:r/>
            <w:r>
              <w:rPr>
                <w:rFonts w:ascii="Arial" w:hAnsi="Arial" w:eastAsia="Arial"/>
                <w:b w:val="0"/>
                <w:i w:val="0"/>
                <w:color w:val="000000"/>
                <w:sz w:val="20"/>
              </w:rPr>
              <w:t>обов’язково</w:t>
            </w:r>
          </w:p>
        </w:tc>
        <w:tc>
          <w:tcPr>
            <w:tcW w:type="dxa" w:w="794"/>
          </w:tcPr>
          <w:p>
            <w:pPr>
              <w:jc w:val="center"/>
            </w:pPr>
            <w:r/>
            <w:r>
              <w:rPr>
                <w:rFonts w:ascii="Arial" w:hAnsi="Arial" w:eastAsia="Arial"/>
                <w:b w:val="0"/>
                <w:i w:val="0"/>
                <w:color w:val="000000"/>
                <w:sz w:val="20"/>
              </w:rPr>
            </w:r>
          </w:p>
        </w:tc>
      </w:tr>
    </w:tbl>
    <w:tbl>
      <w:tblPr>
        <w:tblStyle w:val="TableGrid"/>
        <w:tblW w:type="auto" w:w="0"/>
        <w:jc w:val="left"/>
        <w:tblLayout w:type="fixed"/>
        <w:tblLook w:firstColumn="1" w:firstRow="1" w:lastColumn="0" w:lastRow="0" w:noHBand="0" w:noVBand="1" w:val="04A0"/>
      </w:tblPr>
      <w:tblGrid>
        <w:gridCol w:w="3249"/>
        <w:gridCol w:w="3249"/>
        <w:gridCol w:w="3249"/>
      </w:tblGrid>
      <w:tr>
        <w:tc>
          <w:tcPr>
            <w:tcW w:type="dxa" w:w="2721"/>
          </w:tcPr>
          <w:p>
            <w:pPr>
              <w:jc w:val="left"/>
            </w:pPr>
            <w:r/>
            <w:r>
              <w:rPr>
                <w:rFonts w:ascii="Arial" w:hAnsi="Arial" w:eastAsia="Arial"/>
                <w:b/>
                <w:i w:val="0"/>
                <w:color w:val="000000"/>
                <w:sz w:val="20"/>
              </w:rPr>
              <w:t>Формула</w:t>
            </w:r>
          </w:p>
        </w:tc>
        <w:tc>
          <w:tcPr>
            <w:tcW w:type="dxa" w:w="5102"/>
          </w:tcPr>
          <w:p>
            <w:pPr>
              <w:jc w:val="left"/>
            </w:pPr>
            <w:r/>
            <w:r>
              <w:rPr>
                <w:rFonts w:ascii="Arial" w:hAnsi="Arial" w:eastAsia="Arial"/>
                <w:b/>
                <w:i w:val="0"/>
                <w:color w:val="000000"/>
                <w:sz w:val="20"/>
              </w:rPr>
              <w:t>Адитивний subtotal = Σ рядків із однаковою одиницею, періодом, базою і економічним змістом</w:t>
            </w:r>
          </w:p>
        </w:tc>
        <w:tc>
          <w:tcPr>
            <w:tcW w:type="dxa" w:w="1247"/>
          </w:tcPr>
          <w:p>
            <w:pPr>
              <w:jc w:val="left"/>
            </w:pPr>
            <w:r/>
            <w:r>
              <w:rPr>
                <w:rFonts w:ascii="Arial" w:hAnsi="Arial" w:eastAsia="Arial"/>
                <w:b/>
                <w:i w:val="0"/>
                <w:color w:val="000000"/>
                <w:sz w:val="20"/>
              </w:rPr>
              <w:t>Опора</w:t>
            </w:r>
          </w:p>
        </w:tc>
      </w:tr>
      <w:tr>
        <w:tc>
          <w:tcPr>
            <w:tcW w:type="dxa" w:w="2721"/>
          </w:tcPr>
          <w:p>
            <w:pPr>
              <w:jc w:val="left"/>
            </w:pPr>
            <w:r/>
            <w:r>
              <w:rPr>
                <w:rFonts w:ascii="Arial" w:hAnsi="Arial" w:eastAsia="Arial"/>
                <w:b w:val="0"/>
                <w:i w:val="0"/>
                <w:color w:val="000000"/>
                <w:sz w:val="20"/>
              </w:rPr>
              <w:t>Позначення</w:t>
            </w:r>
          </w:p>
        </w:tc>
        <w:tc>
          <w:tcPr>
            <w:tcW w:type="dxa" w:w="5102"/>
          </w:tcPr>
          <w:p>
            <w:pPr>
              <w:jc w:val="left"/>
            </w:pPr>
            <w:r/>
            <w:r>
              <w:rPr>
                <w:rFonts w:ascii="Arial" w:hAnsi="Arial" w:eastAsia="Arial"/>
                <w:b w:val="0"/>
                <w:i w:val="0"/>
                <w:color w:val="000000"/>
                <w:sz w:val="20"/>
              </w:rPr>
              <w:t>Рядок може бути грошовим, але неадитивним, якщо змішує валовий випуск, ВДВ, експорт або бюджетний канал.</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Джерельне правило</w:t>
            </w:r>
          </w:p>
        </w:tc>
        <w:tc>
          <w:tcPr>
            <w:tcW w:type="dxa" w:w="5102"/>
          </w:tcPr>
          <w:p>
            <w:pPr>
              <w:jc w:val="left"/>
            </w:pPr>
            <w:r/>
            <w:r>
              <w:rPr>
                <w:rFonts w:ascii="Arial" w:hAnsi="Arial" w:eastAsia="Arial"/>
                <w:b w:val="0"/>
                <w:i w:val="0"/>
                <w:color w:val="000000"/>
                <w:sz w:val="20"/>
              </w:rPr>
              <w:t>Застосовуються ID джерела та table застереження; для макро - -.: STAT_ВВП_за_виробничим_методом.xlsx; MINFIN__Ukraine_BoP.xlsx</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Застереження</w:t>
            </w:r>
          </w:p>
        </w:tc>
        <w:tc>
          <w:tcPr>
            <w:tcW w:type="dxa" w:w="5102"/>
          </w:tcPr>
          <w:p>
            <w:pPr>
              <w:jc w:val="left"/>
            </w:pPr>
            <w:r/>
            <w:r>
              <w:rPr>
                <w:rFonts w:ascii="Arial" w:hAnsi="Arial" w:eastAsia="Arial"/>
                <w:b w:val="0"/>
                <w:i w:val="0"/>
                <w:color w:val="000000"/>
                <w:sz w:val="20"/>
              </w:rPr>
              <w:t>Не кожен USD-ряд можна додати до іншого USD-рядка.</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Інтерпретація</w:t>
            </w:r>
          </w:p>
        </w:tc>
        <w:tc>
          <w:tcPr>
            <w:tcW w:type="dxa" w:w="5102"/>
          </w:tcPr>
          <w:p>
            <w:pPr>
              <w:jc w:val="left"/>
            </w:pPr>
            <w:r/>
            <w:r>
              <w:rPr>
                <w:rFonts w:ascii="Arial" w:hAnsi="Arial" w:eastAsia="Arial"/>
                <w:b w:val="0"/>
                <w:i w:val="0"/>
                <w:color w:val="000000"/>
                <w:sz w:val="20"/>
              </w:rPr>
              <w:t>Контроль адитивності зберігає чесність грошових subtotal.</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Статус</w:t>
            </w:r>
          </w:p>
        </w:tc>
        <w:tc>
          <w:tcPr>
            <w:tcW w:type="dxa" w:w="5102"/>
          </w:tcPr>
          <w:p>
            <w:pPr>
              <w:jc w:val="left"/>
            </w:pPr>
            <w:r/>
            <w:r>
              <w:rPr>
                <w:rFonts w:ascii="Arial" w:hAnsi="Arial" w:eastAsia="Arial"/>
                <w:b w:val="0"/>
                <w:i w:val="0"/>
                <w:color w:val="000000"/>
                <w:sz w:val="20"/>
              </w:rPr>
              <w:t>Публічна формула прозорості; результат застосовується лише до рядків із сумісними одиницями та джерелами.</w:t>
            </w:r>
          </w:p>
        </w:tc>
        <w:tc>
          <w:tcPr>
            <w:tcW w:type="dxa" w:w="1247"/>
          </w:tcPr>
          <w:p>
            <w:pPr>
              <w:jc w:val="center"/>
            </w:pPr>
            <w:r/>
            <w:r>
              <w:rPr>
                <w:rFonts w:ascii="Arial" w:hAnsi="Arial" w:eastAsia="Arial"/>
                <w:b w:val="0"/>
                <w:i w:val="0"/>
                <w:color w:val="000000"/>
                <w:sz w:val="20"/>
              </w:rPr>
            </w:r>
          </w:p>
        </w:tc>
      </w:tr>
    </w:tbl>
    <w:p>
      <w:pPr>
        <w:pStyle w:val="Heading1"/>
      </w:pPr>
      <w:r>
        <w:rPr>
          <w:rFonts w:ascii="Arial" w:hAnsi="Arial" w:eastAsia="Arial"/>
          <w:b/>
          <w:i w:val="0"/>
          <w:color w:val="000000"/>
          <w:sz w:val="44"/>
        </w:rPr>
        <w:t>References used in this artifact</w:t>
      </w:r>
    </w:p>
    <w:p>
      <w:pPr>
        <w:pStyle w:val="Heading1"/>
      </w:pPr>
      <w:r>
        <w:rPr>
          <w:rFonts w:ascii="Arial" w:hAnsi="Arial" w:eastAsia="Arial"/>
          <w:b/>
          <w:i w:val="0"/>
          <w:color w:val="000000"/>
          <w:sz w:val="44"/>
        </w:rPr>
        <w:t>Висновки</w:t>
      </w:r>
    </w:p>
    <w:p>
      <w:pPr>
        <w:jc w:val="both"/>
      </w:pPr>
      <w:r>
        <w:rPr>
          <w:rFonts w:ascii="Arial" w:hAnsi="Arial" w:eastAsia="Arial"/>
          <w:b w:val="0"/>
          <w:i w:val="0"/>
          <w:color w:val="000000"/>
          <w:sz w:val="24"/>
        </w:rPr>
        <w:t>У сукупних втратах вирішальною стає послідовність кроків, що зменшує ціну затримки і підсилює виробничу спроможність. [1]</w:t>
      </w:r>
    </w:p>
    <w:p>
      <w:pPr>
        <w:jc w:val="both"/>
      </w:pPr>
      <w:r>
        <w:rPr>
          <w:rFonts w:ascii="Arial" w:hAnsi="Arial" w:eastAsia="Arial"/>
          <w:b w:val="0"/>
          <w:i w:val="0"/>
          <w:color w:val="000000"/>
          <w:sz w:val="24"/>
        </w:rPr>
        <w:t>Капітал реагує на дисципліну виконання, зрозуміле правило входу і нижчу ціну ризику. [1] Там, де ці умови формуються, воєнна невизначеність переходить у фактор, який можна оцінити, страхувати і закладати в інвестиційну модель.</w:t>
      </w:r>
    </w:p>
    <w:p>
      <w:pPr>
        <w:jc w:val="both"/>
      </w:pPr>
      <w:r>
        <w:rPr>
          <w:rFonts w:ascii="Arial" w:hAnsi="Arial" w:eastAsia="Arial"/>
          <w:b w:val="0"/>
          <w:i w:val="0"/>
          <w:color w:val="000000"/>
          <w:sz w:val="24"/>
        </w:rPr>
        <w:t>Праця, інженерні команди і нові виробничі ініціативи тримаються там, де видно реальний фронт роботи, стабільний попит і довший горизонт контракту. [1] Такий зв'язок між рішенням і щоденною економічною поведінкою визначає темп повернення людей та компетенцій.</w:t>
      </w:r>
    </w:p>
    <w:p>
      <w:pPr>
        <w:jc w:val="both"/>
      </w:pPr>
      <w:r>
        <w:rPr>
          <w:rFonts w:ascii="Arial" w:hAnsi="Arial" w:eastAsia="Arial"/>
          <w:b w:val="0"/>
          <w:i w:val="0"/>
          <w:color w:val="000000"/>
          <w:sz w:val="24"/>
        </w:rPr>
        <w:t>Суспільна стійкість залежить від прозорих правил, нових виробництв, передбачуваних сервісів і реальної інтеграції тих, хто повертається з війни або вимушеного переміщення. [1] Без цієї опори навіть сильні інвестиційні рішення не переходять у повноцінний цикл зростання.</w:t>
      </w:r>
    </w:p>
    <w:p>
      <w:pPr>
        <w:jc w:val="both"/>
      </w:pPr>
      <w:r>
        <w:rPr>
          <w:rFonts w:ascii="Arial" w:hAnsi="Arial" w:eastAsia="Arial"/>
          <w:b w:val="0"/>
          <w:i w:val="0"/>
          <w:color w:val="000000"/>
          <w:sz w:val="24"/>
        </w:rPr>
        <w:t>Подальший крок полягає у зміні сигналів, які можна перевірити повторно. [1] Через них державні рішення, приватний капітал і робота фахівців переходять із режиму виживання в режим контрольованого розвитку.</w:t>
      </w:r>
    </w:p>
    <w:p>
      <w:pPr>
        <w:pStyle w:val="Heading1"/>
      </w:pPr>
      <w:r>
        <w:rPr>
          <w:rFonts w:ascii="Arial" w:hAnsi="Arial" w:eastAsia="Arial"/>
          <w:b/>
          <w:i w:val="0"/>
          <w:color w:val="000000"/>
          <w:sz w:val="44"/>
        </w:rPr>
        <w:t>Список джерел</w:t>
      </w:r>
    </w:p>
    <w:p>
      <w:pPr/>
      <w:r>
        <w:rPr>
          <w:rFonts w:ascii="Arial" w:hAnsi="Arial" w:eastAsia="Arial"/>
          <w:b w:val="0"/>
          <w:i w:val="0"/>
          <w:color w:val="000000"/>
          <w:sz w:val="24"/>
        </w:rPr>
        <w:t>[1] S122 World Bank; United Nations; European Commission - Ukraine Fifth Rapid Damage and Needs Assessment (RDNA5) [Електронний ресурс]. worldbank.org, 2026.</w:t>
      </w:r>
    </w:p>
    <w:p>
      <w:pPr/>
      <w:r>
        <w:rPr>
          <w:rFonts w:ascii="Arial" w:hAnsi="Arial" w:eastAsia="Arial"/>
          <w:b w:val="0"/>
          <w:i w:val="0"/>
          <w:color w:val="000000"/>
          <w:sz w:val="24"/>
        </w:rPr>
        <w:t>[2] S087 National Bank of Ukraine (NBU) — FSR 2025 H1 eng [Електронний ресурс]. - bank.gov.ua. - null. - Режим доступу: https://bank.gov.ua/admin_uploads/article/FSR_2025-H1_eng.pdf.</w:t>
      </w:r>
    </w:p>
    <w:p>
      <w:pPr/>
      <w:r>
        <w:rPr>
          <w:rFonts w:ascii="Arial" w:hAnsi="Arial" w:eastAsia="Arial"/>
          <w:b w:val="0"/>
          <w:i w:val="0"/>
          <w:color w:val="000000"/>
          <w:sz w:val="24"/>
        </w:rPr>
        <w:t>[3] S091 International Monetary Fund (IMF) — ukr [Електронний ресурс]. - www.imf.org. - null. - Режим доступу: https://www.imf.org/en/countries/ukr.</w:t>
      </w:r>
    </w:p>
    <w:p>
      <w:pPr/>
      <w:r>
        <w:rPr>
          <w:rFonts w:ascii="Arial" w:hAnsi="Arial" w:eastAsia="Arial"/>
          <w:b w:val="0"/>
          <w:i w:val="0"/>
          <w:color w:val="000000"/>
          <w:sz w:val="24"/>
        </w:rPr>
        <w:t>[4] S363 IMF — Ukraine country page [Електронний ресурс]. - imf.org. - "live page, accessed 2026-05-18". - Режим доступу: https://www.imf.org/en/countries/ukr.</w:t>
      </w:r>
    </w:p>
    <w:p>
      <w:pPr/>
      <w:r>
        <w:rPr>
          <w:rFonts w:ascii="Arial" w:hAnsi="Arial" w:eastAsia="Arial"/>
          <w:b w:val="0"/>
          <w:i w:val="0"/>
          <w:color w:val="000000"/>
          <w:sz w:val="24"/>
        </w:rPr>
        <w:t>[5] S364 World Bank — Ukraine Macro Poverty Outlook, April 2026 [Електронний ресурс]. - thedocs.worldbank.org. - "2026-04". - Режим доступу: https://thedocs.worldbank.org/en/doc/d5f32ef28464d01f195827b7e020a3e8-0500022021/related/mpo-ukr.pdf.</w:t>
      </w:r>
    </w:p>
    <w:p>
      <w:pPr/>
      <w:r>
        <w:rPr>
          <w:rFonts w:ascii="Arial" w:hAnsi="Arial" w:eastAsia="Arial"/>
          <w:b w:val="0"/>
          <w:i w:val="0"/>
          <w:color w:val="000000"/>
          <w:sz w:val="24"/>
        </w:rPr>
        <w:t>[6] S365 EBRD — Ukraine maintains macroeconomic stability despite war [Електронний ресурс]. - ebrd.com. - "2026-02-26". - Режим доступу: https://www.ebrd.com/home/news-and-events/news/2026/ukraine-maintains-macroeconomic-stability-despite-war---ebrd-rep.html.</w:t>
      </w:r>
    </w:p>
    <w:p>
      <w:pPr/>
      <w:r>
        <w:rPr>
          <w:rFonts w:ascii="Arial" w:hAnsi="Arial" w:eastAsia="Arial"/>
          <w:b w:val="0"/>
          <w:i w:val="0"/>
          <w:color w:val="000000"/>
          <w:sz w:val="24"/>
        </w:rPr>
        <w:t>[7] S366 OECD — Ukraine Economic Snapshot [Електронний ресурс]. - oecd.org. - "live page; Dec 2025 projection note". - Режим доступу: https://www.oecd.org/en/topics/sub-issues/economic-surveys/ukraine-economic-snapshot.html.</w:t>
      </w:r>
    </w:p>
    <w:p>
      <w:pPr/>
      <w:r>
        <w:rPr>
          <w:rFonts w:ascii="Arial" w:hAnsi="Arial" w:eastAsia="Arial"/>
          <w:b w:val="0"/>
          <w:i w:val="0"/>
          <w:color w:val="000000"/>
          <w:sz w:val="24"/>
        </w:rPr>
        <w:t>[8] S367 NBU — Inflation Report, April 2026 [Електронний ресурс]. - bank.gov.ua. - "2026-04". - Режим доступу: https://bank.gov.ua/admin_uploads/article/IR_2026-Q2_summary_en.pdf?v=17.</w:t>
      </w:r>
    </w:p>
    <w:p>
      <w:pPr/>
      <w:r>
        <w:rPr>
          <w:rFonts w:ascii="Arial" w:hAnsi="Arial" w:eastAsia="Arial"/>
          <w:b w:val="0"/>
          <w:i w:val="0"/>
          <w:color w:val="000000"/>
          <w:sz w:val="24"/>
        </w:rPr>
        <w:t>[9] S370 OECD‑FAO — Agricultural Outlook 2025–2034 [Електронний ресурс]. - oecd.org. - "2025-07". - Режим доступу: https://www.oecd.org/en/publications/2025/07/oecd-fao-agricultural-outlook-2025-2034_3eb15914.html.</w:t>
      </w:r>
    </w:p>
    <w:p>
      <w:pPr/>
      <w:r>
        <w:rPr>
          <w:rFonts w:ascii="Arial" w:hAnsi="Arial" w:eastAsia="Arial"/>
          <w:b w:val="0"/>
          <w:i w:val="0"/>
          <w:color w:val="000000"/>
          <w:sz w:val="24"/>
        </w:rPr>
        <w:t>[10] S368 worldsteel — Short Range Outlook April 2026 [Електронний ресурс]. - worldsteel.org. - "2026-04-14". - Режим доступу: https://worldsteel.org/media/press-releases/2026/worldsteel-short-range-outlook-april-2026/.</w:t>
      </w:r>
    </w:p>
    <w:p>
      <w:pPr/>
      <w:r>
        <w:rPr>
          <w:rFonts w:ascii="Arial" w:hAnsi="Arial" w:eastAsia="Arial"/>
          <w:b w:val="0"/>
          <w:i w:val="0"/>
          <w:color w:val="000000"/>
          <w:sz w:val="24"/>
        </w:rPr>
        <w:t>[11] S369 IEA — Electricity 2026 [Електронний ресурс]. - iea.org. - "2026". - Режим доступу: https://www.iea.org/reports/electricity-2026/executive-summary.</w:t>
      </w:r>
    </w:p>
    <w:p>
      <w:pPr/>
      <w:r>
        <w:rPr>
          <w:rFonts w:ascii="Arial" w:hAnsi="Arial" w:eastAsia="Arial"/>
          <w:b w:val="0"/>
          <w:i w:val="0"/>
          <w:color w:val="000000"/>
          <w:sz w:val="24"/>
        </w:rPr>
        <w:t>[12] S371 European Commission — Carbon Border Adjustment Mechanism [Електронний ресурс]. - taxation-customs.ec.europa.eu. - "live page; definitive regime from 2026". - Режим доступу: https://taxation-customs.ec.europa.eu/carbon-border-adjustment-mechanism_en.</w:t>
      </w:r>
    </w:p>
    <w:p>
      <w:pPr/>
      <w:r>
        <w:rPr>
          <w:rFonts w:ascii="Arial" w:hAnsi="Arial" w:eastAsia="Arial"/>
          <w:b w:val="0"/>
          <w:i w:val="0"/>
          <w:color w:val="000000"/>
          <w:sz w:val="24"/>
        </w:rPr>
        <w:t>[13] S372 OECD. Ukraine’s Strategic Response to the Displacement Crisis [Електронний ресурс]. OECD, 2026. Режим доступу: https://www.oecd.org/en/publications/ukraine-s-strategic-response-to-the-displacement-crisis_9b773da4-en.html. Дата звернення: 2026-05-25.</w:t>
      </w:r>
    </w:p>
    <w:sectPr w:rsidR="00FC693F" w:rsidRPr="0006063C" w:rsidSect="00034616">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0" w:line="259" w:lineRule="auto"/>
      <w:jc w:val="both"/>
    </w:pPr>
    <w:rPr>
      <w:rFonts w:ascii="Arial" w:hAnsi="Arial" w:eastAsia="Arial"/>
      <w:color w:val="00000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20" w:after="120"/>
      <w:jc w:val="left"/>
      <w:outlineLvl w:val="0"/>
    </w:pPr>
    <w:rPr>
      <w:rFonts w:asciiTheme="majorHAnsi" w:eastAsiaTheme="majorEastAsia" w:hAnsiTheme="majorHAnsi" w:cstheme="majorBidi" w:ascii="Arial" w:hAnsi="Arial" w:eastAsia="Arial"/>
      <w:b/>
      <w:bCs/>
      <w:color w:val="000000"/>
      <w:sz w:val="44"/>
      <w:szCs w:val="28"/>
    </w:rPr>
  </w:style>
  <w:style w:type="paragraph" w:styleId="Heading2">
    <w:name w:val="heading 2"/>
    <w:basedOn w:val="Normal"/>
    <w:next w:val="Normal"/>
    <w:link w:val="Heading2Char"/>
    <w:uiPriority w:val="9"/>
    <w:unhideWhenUsed/>
    <w:qFormat/>
    <w:rsid w:val="00FC693F"/>
    <w:pPr>
      <w:keepNext/>
      <w:keepLines/>
      <w:spacing w:before="120" w:after="120"/>
      <w:jc w:val="left"/>
      <w:outlineLvl w:val="1"/>
    </w:pPr>
    <w:rPr>
      <w:rFonts w:asciiTheme="majorHAnsi" w:eastAsiaTheme="majorEastAsia" w:hAnsiTheme="majorHAnsi" w:cstheme="majorBidi" w:ascii="Arial" w:hAnsi="Arial" w:eastAsia="Arial"/>
      <w:b/>
      <w:bCs/>
      <w:color w:val="000000"/>
      <w:sz w:val="32"/>
      <w:szCs w:val="26"/>
    </w:rPr>
  </w:style>
  <w:style w:type="paragraph" w:styleId="Heading3">
    <w:name w:val="heading 3"/>
    <w:basedOn w:val="Normal"/>
    <w:next w:val="Normal"/>
    <w:link w:val="Heading3Char"/>
    <w:uiPriority w:val="9"/>
    <w:unhideWhenUsed/>
    <w:qFormat/>
    <w:rsid w:val="00FC693F"/>
    <w:pPr>
      <w:keepNext/>
      <w:keepLines/>
      <w:spacing w:before="120" w:after="120"/>
      <w:jc w:val="left"/>
      <w:outlineLvl w:val="2"/>
    </w:pPr>
    <w:rPr>
      <w:rFonts w:asciiTheme="majorHAnsi" w:eastAsiaTheme="majorEastAsia" w:hAnsiTheme="majorHAnsi" w:cstheme="majorBidi" w:ascii="Arial" w:hAnsi="Arial" w:eastAsia="Arial"/>
      <w:b/>
      <w:bCs/>
      <w:color w:val="000000"/>
      <w:sz w:val="28"/>
    </w:rPr>
  </w:style>
  <w:style w:type="paragraph" w:styleId="Heading4">
    <w:name w:val="heading 4"/>
    <w:basedOn w:val="Normal"/>
    <w:next w:val="Normal"/>
    <w:link w:val="Heading4Char"/>
    <w:uiPriority w:val="9"/>
    <w:semiHidden/>
    <w:unhideWhenUsed/>
    <w:qFormat/>
    <w:rsid w:val="00FC693F"/>
    <w:pPr>
      <w:keepNext/>
      <w:keepLines/>
      <w:spacing w:before="120" w:after="120"/>
      <w:jc w:val="left"/>
      <w:outlineLvl w:val="3"/>
    </w:pPr>
    <w:rPr>
      <w:rFonts w:asciiTheme="majorHAnsi" w:eastAsiaTheme="majorEastAsia" w:hAnsiTheme="majorHAnsi" w:cstheme="majorBidi" w:ascii="Arial" w:hAnsi="Arial" w:eastAsia="Arial"/>
      <w:b/>
      <w:bCs/>
      <w:i/>
      <w:iCs/>
      <w:color w:val="000000"/>
      <w:sz w:val="24"/>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200" w:line="240" w:lineRule="auto" w:before="120"/>
      <w:contextualSpacing/>
      <w:jc w:val="left"/>
    </w:pPr>
    <w:rPr>
      <w:rFonts w:asciiTheme="majorHAnsi" w:eastAsiaTheme="majorEastAsia" w:hAnsiTheme="majorHAnsi" w:cstheme="majorBidi" w:ascii="Arial" w:hAnsi="Arial" w:eastAsia="Arial"/>
      <w:color w:val="000000"/>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before="80" w:after="160"/>
      <w:jc w:val="center"/>
    </w:pPr>
    <w:rPr>
      <w:rFonts w:ascii="Arial" w:hAnsi="Arial" w:eastAsia="Arial"/>
      <w:b/>
      <w:bCs/>
      <w:color w:val="000000"/>
      <w:sz w:val="22"/>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orldsteel.org/media/press-releases/2026/worldsteel-short-range-outlook-april-2026/" TargetMode="External"/><Relationship Id="rId10" Type="http://schemas.openxmlformats.org/officeDocument/2006/relationships/hyperlink" Target="https://www.iea.org/reports/electricity-2026/executive-summary" TargetMode="External"/><Relationship Id="rId11" Type="http://schemas.openxmlformats.org/officeDocument/2006/relationships/hyperlink" Target="https://taxation-customs.ec.europa.eu/carbon-border-adjustment-mechanism_en" TargetMode="External"/><Relationship Id="rId12" Type="http://schemas.openxmlformats.org/officeDocument/2006/relationships/hyperlink" Target="https://www.oecd.org/en/publications/2025/07/oecd-fao-agricultural-outlook-2025-2034_3eb15914.html" TargetMode="External"/><Relationship Id="rId13" Type="http://schemas.openxmlformats.org/officeDocument/2006/relationships/hyperlink" Target="https://documents1.worldbank.org/curated/en/099022026094036395/pdf/P514499-22f93f3a-4278-42bc-b907-db9553d12069.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