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200"/>
        <w:jc w:val="left"/>
      </w:pPr>
      <w:r>
        <w:rPr>
          <w:rFonts w:ascii="Arial" w:hAnsi="Arial" w:eastAsia="Arial"/>
          <w:b/>
          <w:i w:val="0"/>
          <w:color w:val="000000"/>
          <w:sz w:val="56"/>
        </w:rPr>
        <w:t>Бенчмарки та поточна позиція України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 міжнародних бенчмарках вже видно межу між адаптацією і новим циклом зростання. [1] Далі вирішальними стають швидкість виконання, ціна затримки і здатність утримувати матеріальний результат під воєнним тиском.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Державні рішення тут одночасно працюють з бюджетним обмеженням, безпековим ризиком і потребою зберегти довший горизонт дії. [2] Від цього залежить, які кроки дають короткий ефект, а які створюють нову спроможність на роки вперед.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заходить туди, де видно керований контур виконання, межу ризику і шлях повернення грошей. [3]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Фахівці, підприємці, виробничі команди і люди, що повертаються до цивільної економіки, шукають робочу базу, стабільний дохід, сучасні виробництва і зрозумілу перспективу професійної реалізації. [4] На цьому тримається довший кадровий ресурс для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Воєнний горизонт лишається над усією економічною рамкою. [5] Країна одночасно тримає фронт, підтримує тил, готує повернення військових до цивільного життя і шукає ресурс для нового циклу розвитку, тому далі важливо побачити керовані точки зміни.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Виконавчий висновок: стартова позиція перед сценаріями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Україна входить у прогнозний період із промисловою системою, яка одночасно зберегла частину виробничої спроможності і втратила великий обсяг довоєнної місткості. [6] Десятирічні потреби відновлення України оцінені у </w:t>
      </w:r>
      <w:hyperlink r:id="rId9">
        <w:r>
          <w:rPr>
            <w:rFonts w:ascii="Arial" w:hAnsi="Arial" w:eastAsia="Arial"/>
            <w:sz w:val="24"/>
            <w:color w:val="0000EE"/>
            <w:u w:val="single"/>
          </w:rPr>
          <w:t>588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дол. США, а прямі пошкодження - у 195 млрд дол. США.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Поточна позиція не може вимірюватися лише темпом зростання після низької бази. [7] ВВП, промислове виробництво, бюджетні доходи, платіжний баланс і валютний курс мають оцінюватися в одній макрорамці, бо позитивний річний темп може співіснувати з недозавантаженням потужностей, високою премією ризику, дефіцитом кадрів, енергетичним тиском і залежністю від зовнішнього фінансування.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Польща використовується як контрольний випадок довгої європейської конвергенції, де OECD підкреслює суттєве, але поступово повільніше зближення продуктивності. [8] Туреччина використовується як контрольний випадок великої виробничої та експортної економіки, де OECD фіксує уповільнення потенційного зростання на одного працівника.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Ціна інерції в цьому документі не дорівнює прямим втратам і не дублює макропрогноз ВВП. [9] Вона означає різницю між потенційним відновленням, яке повертає країну до продуктивнішої промислової траєкторії, і інерційним відновленням, яке стабілізує поточний стан, але залишає виробництво, експорт, податкову базу та технологічну позицію нижче можливої межі. Українська інноваційна позиція в Європейському інноваційному табло 2025 року зафіксована на рівні </w:t>
      </w:r>
      <w:hyperlink r:id="rId10">
        <w:r>
          <w:rPr>
            <w:rFonts w:ascii="Arial" w:hAnsi="Arial" w:eastAsia="Arial"/>
            <w:sz w:val="24"/>
            <w:color w:val="0000EE"/>
            <w:u w:val="single"/>
          </w:rPr>
          <w:t>29,0%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від середнього показника ЄС, тому фізичне відновлення без інноваційного оновлення залишає частину розриву незакритою.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Вимога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Як реалізовано у цьому блоці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Основні джерела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Публічний результат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Порівняти Україну з ЄС, Польщею і Туреччиною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Польща і Туреччина подані як контрольні траєкторії, ЄС - як рамка конкурентності, декарбонізації та інновацій.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S373, S374, S377, S380, S382, S388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Розділ 4 і D2-T03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Порівняти з довоєнним потенціалом України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Порівняння ведеться через базу 2021 року, реальний ВВП, виробничі ряди та секторні індекс відновлення.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-: GMK Center; U. S. EIA; Ukraine Fourth Rapid; superagronom.com; groupdf.com; STAT_ВВП_за_виробничим_методом.xlsx; MINFIN_Ukraine_GDP.xlsx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Розділи 2-3, D2-FIG02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Оцінити ціна невикористаної можливості інерції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Запроваджено формулу різниці між потенційною та інерційною траєкторією без дублювання D1 або V2.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Ukraine Fifth Rapid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Розділ 6 і D2-FRM04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Побудувати таблицю potential vs inertial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Зведена таблиця показує різницю між відновленням фізичних обсягів та переходом до продуктивнішої промислової траєкторії.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-, -, -: STAT_ВВП_за_виробничим_методом.xlsx; MINFIN__Ukraine_BoP.xlsx; Ukraine Fifth Rapid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D2-T04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Метод бенчмарку: що порівнюється і чому це не загальна вправа з EU integration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Метод цього блоку має одну функцію: [1] перетворити поточний стан України на контрольовану стартову матрицю перед сценаріями. Порівняння з ЄС, Польщею і Туреччиною не створює рейтинг країн і не пропонує готовий шаблон політики. Воно задає три межі перевірки: європейська продуктивність і інновації, середньоєвропейська конвергенція та виробничий масштаб. UNIDO описує сучасну промислову політику як нову еру промислових політик, а МВФ окремо застерігає, що промислова політика не є магічним засобом проти повільного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Шар методу: поточна база </w:t>
      </w:r>
      <w:hyperlink r:id="rId11">
        <w:r>
          <w:rPr>
            <w:rFonts w:ascii="Arial" w:hAnsi="Arial" w:eastAsia="Arial"/>
            <w:sz w:val="24"/>
            <w:color w:val="0000EE"/>
            <w:u w:val="single"/>
          </w:rPr>
          <w:t>2020-2025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. Він включає реальний ВВП, ВДВ, виробничу структуру, поточний рахунок, бюджет, курс, демографію та секторні фізичні індикатори. Держстатівська база національних рахунків дає виробничий, кінцевий і розподільчий розрізи ВВП, а зведена серія ВВП і курсу дає масштаб у гривні та доларі. [2]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Шар: зовнішній бенчмарк. Світовий банк описує Польщу як велику, відкриту, диверсифіковану економіку Центральної Європи, а OECD для Туреччини підкреслює швидке зростання разом із ризиком продуктивності. [3]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Контур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Поточний сигнал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Що означає для цього блоку</w:t>
            </w:r>
          </w:p>
        </w:tc>
        <w:tc>
          <w:tcPr>
            <w:tcW w:type="dxa" w:w="850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Макроекономічний масштаб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Відновлення після шоку відбувається з низької бази і залишається чутливим до зовнішнього фінансування.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Позитивний темп зростання не дорівнює поверненню до довоєнної виробничої місткості.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Промислова база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Фізичні сектори мають нерівні індекс відновлення: від близько третини бази у сталі та добривах до більшої частки у АПК.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Сценарії мають стартувати з неоднорідної бази, а не з одного середнього показника.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Енергетика та витрати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Промислова електроенергія у грудні 2025 року перебуває біля 6881 грн/МВт·год, газ України наприкінці року - 498 дол./1000 м³.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Енергія є прямою умовою відновлення виробництва і собівартості.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Логістика та відбудова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Транспортні потреби RDNA5 становлять 96,3 млрд дол. США, втрати транспорту - 40,3 млрд дол. США.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Логістика є не секторною деталлю, а обмеженням для експорту і цін.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Інновації та продуктивність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Україна в Європейському інноваційному табло 2025 року має 29,0% середнього рівня ЄС.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Фізичне відновлення без інноваційне оновлення залишає стратегічний розрив.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Публічні фінанси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Бюджет і платіжний баланс залежать від зовнішнього фінансування, валютної стабільності та податкової бази.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Промислова база має оцінюватися як майбутня фіскальна і зовнішньоторговельна спроможність.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Масштаб відбудови як перша межа бенчмарку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RDNA5 фіксує </w:t>
      </w:r>
      <w:hyperlink r:id="rId12">
        <w:r>
          <w:rPr>
            <w:rFonts w:ascii="Arial" w:hAnsi="Arial" w:eastAsia="Arial"/>
            <w:sz w:val="24"/>
            <w:color w:val="0000EE"/>
            <w:u w:val="single"/>
          </w:rPr>
          <w:t>588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дол. США загальних потреб, 195 млрд дол. США прямих пошкоджень і 15 млрд дол. США пріоритетних потреб на 2026 рік. [10]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Секторні потреби вказують, де поточна позиція може блокувати швидкість відновлення. [12] Потреби транспортного сектору оцінені у </w:t>
      </w:r>
      <w:hyperlink r:id="rId13">
        <w:r>
          <w:rPr>
            <w:rFonts w:ascii="Arial" w:hAnsi="Arial" w:eastAsia="Arial"/>
            <w:sz w:val="24"/>
            <w:color w:val="0000EE"/>
            <w:u w:val="single"/>
          </w:rPr>
          <w:t>96,3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дол. США, а втрати - у 40,3 млрд дол. США. Потреби аграрного сектору оцінені у 55,3 млрд дол. США, втрати - у 78 млрд дол. США, прямі збитки - у 12,1 млрд дол. США. Для цього блоку показує, що промислова відбудова не може розглядатися окремо від логістики, АПК, житла, енергії та матеріальної бази реконструкції.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Довоєнний потенціал і індекс відновлення: чому середнє відновлення приховує розриви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Довоєнний потенціал у цьому блоці не означає ностальгічне повернення до структури 2021 року. [13] Він означає контрольну базу, від якої можна виміряти фактичну відстань до виробничої спроможності. У 2025 році металургійний фізичний індикатор у індекс відновлення становить </w:t>
      </w:r>
      <w:hyperlink r:id="rId14">
        <w:r>
          <w:rPr>
            <w:rFonts w:ascii="Arial" w:hAnsi="Arial" w:eastAsia="Arial"/>
            <w:sz w:val="24"/>
            <w:color w:val="0000EE"/>
            <w:u w:val="single"/>
          </w:rPr>
          <w:t>34,7%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 бази, для мінеральних добрив поточна точка становить близько 34% довоєнної бази, для будівельних робіт у реальному вимірі 2024 року використано 50,7% до бази, для зернових та олійних у 2023 році - 75,2% до бази, а для електроенергії - 64,9% до бази 2021 року.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Таке порівняння не є зведеним індексом виробництва. [11] Воно показує стартову неоднорідність. Якщо металургія і хімія стартують приблизно з третини довоєнної фізичної бази, а АПК має вищу частку, однакова політика для всіх секторів не дасть однакового результату. Для цього блоку важливо саме це: сценарний прогноз має бачити різну відстань до потенціалу ще до того, як з’являться сценарні припущення.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Порівняльний об’єкт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Що контролює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Чому це не модель копіювання</w:t>
            </w:r>
          </w:p>
        </w:tc>
        <w:tc>
          <w:tcPr>
            <w:tcW w:type="dxa" w:w="850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ЄС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Конкурентність через енергію, декарбонізацію, чисту промисловість, інновації та стандарти.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Україна порівнює власну готовність до ринкових правил і технологічного рівня, а не переносить регулювання без адаптації.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Польща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Довгу конвергенцію, продуктивність, бізнес-середовище, відкритість і диверсифікацію.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Польща є контрольним випадком середньоєвропейської траєкторії, але Україна має іншу воєнну, демографічну та енергетичну базу.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Туреччина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Виробничий масштаб, експортну орієнтацію, промислову серійність і ризик уповільнення продуктивності.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Туреччина показує, що масштаб виробництва без підвищення продуктивності не гарантує стійкої траєкторії.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Україна до 2022 року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Власний потенціал інтеграції у європейські виробничі ланцюги, продуктивності та обмежень рівня фірм.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Порівняння з довоєнним потенціалом потрібне для оцінки втраченого оновлення, а не для повернення до старої структури.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Енергетичний і тарифний коридор: поточна позиція як cost benchmark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Енергія є одним із головних інтерфейсів між поточною позицією і майбутньою промисловою траєкторією. [1] У грудні 2025 року середньозважена ціна електроенергії для промислових споживачів у використаній рамці становить </w:t>
      </w:r>
      <w:hyperlink r:id="rId15">
        <w:r>
          <w:rPr>
            <w:rFonts w:ascii="Arial" w:hAnsi="Arial" w:eastAsia="Arial"/>
            <w:sz w:val="24"/>
            <w:color w:val="0000EE"/>
            <w:u w:val="single"/>
          </w:rPr>
          <w:t>6881 грн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/МВт·год. Український газ наприкінці року в рамці оцінено у 498 дол. США за 1000 м³.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Енергетичний бенчмарк має дві сторони. [1] Перша - внутрішня: сектори з високою енергоємністю не можуть одночасно відновлювати обсяги, модернізуватися і конкурувати на зовнішніх ринках, якщо енергетичний коридор непередбачуваний. Друга - європейська: Clean Industrial Deal пов’язує конкурентність європейської промисловості з декарбонізацією, доступною енергією та робочими місцями.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Польща і Туреччина як контрольні траєкторії, а не політичні рецепти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Польський бенчмарк потрібен для перевірки європейської конвергенції. [1] OECD вказує, що польське зближення продуктивності було значним, але природно уповільнюватиметься. Для України це застереження має практичний зміст: перші роки відновлення можуть дати високі темпи через низьку базу, але без продуктивності, навичок, інновацій, інвестиційного середовища та інтеграції у ланцюги вартості темп буде слабшати.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Турецький бенчмарк потрібен для перевірки масштабування. [1] OECD фіксує, що потенційне зростання на одного працівника в Туреччині сповільнюється, а OECD Ecoscope описує Туреччину як одну з найшвидше зростаючих економік OECD. Поєднання цих двох сигналів важливе для України: виробничий масштаб може зростати, але без підвищення продуктивності, кращого бізнес-середовища, участі жінок і технологічного оновлення він не гарантує стійкої конкурентності.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Європейський бенчмарк показує якість майбутнього ринку. [1] CBAM вводить нову логіку вуглецевої відповідності для експорту до ЄС, а Clean Industrial Deal перетворює декарбонізацію на частину конкурентної промислової політики. Для української металургії, хімії, машинобудування і будматеріалів показує, що довоєнний потенціал уже не може бути просто відтворений; його треба модернізувати під умови ринку, де енергія, викиди, інновації та фінансування визначають доступ до попиту.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Ціна інерції: що саме втрачається, коли відновлення не переходить у підвищення продуктивності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Ціна невикористаної можливості у цьому блоці - це не повторення прямих втрат і не окремий прогноз ВВП. [2] Це аналітична різниця між двома траєкторіями: потенційною, де відновлення піднімає продуктивність і складність виробництва, та інерційною, де країна стабілізує частину активів, але залишає невикористаними технології, експорт, серійність і податкову базу. World Bank Ukraine Growth Study ще до повномасштабної війни підкреслював роль продуктивності, обмежень рівня фірм і інтеграції у європейські виробничі ланцюги. Це джерело важливе саме для оцінки довоєнного втраченого оновлення.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Вартість інерції має чотири практичні компоненти: [1] виробничий: сектор залишається нижче фізичної бази, і кожен рік низького завантаження зменшує здатність утримувати персонал та технологічні компетенції; експортний: нижча складність продукції обмежує валютну виручку і робить економіку залежнішою від сировинних циклів; фіскальний: слабша промислова база формує меншу базу податків і соціальних внесків; технологічний: інноваційний індикатор України у 2025 році становить </w:t>
      </w:r>
      <w:hyperlink r:id="rId15">
        <w:r>
          <w:rPr>
            <w:rFonts w:ascii="Arial" w:hAnsi="Arial" w:eastAsia="Arial"/>
            <w:sz w:val="24"/>
            <w:color w:val="0000EE"/>
            <w:u w:val="single"/>
          </w:rPr>
          <w:t>29,0%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середнього рівня ЄС, тому відсутність технологічного оновлення прямо збільшує довгостроковий розрив.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Інерційний варіант не є провалом у кожному році. [1] Він може містити позитивні темпи зростання, відновлення частини житла, стабілізацію експорту через нові коридори або покращення бюджетної ліквідності.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Potential vs inertial: підсумкова таблиця D2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Вона фіксує, які поточні сигнали вже видно в джерелах, який потенційний напрям вони відкривають і що означає інерційне відкладання рішень. [1] Основна логіка проста: якщо відновлення залишається фізичним, а продуктивність, енергетична передбачуваність, інновації, бізнес-середовище і експортна складність не зростають, країна отримує часткову стабілізацію без достатньої промислової трансформації.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Вимір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Поточна позиція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Потенційна траєкторія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Інерційна траєкторія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Виробнича база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Індекс відновлення секторів дуже неоднорідний: сталь і добрива близько третини бази, енергетика і АПК вищі.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Відновлення переходить у модернізацію потужностей і продуктову складність.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Виробництво повертається частково, але залишається нижче потенціалу і залежить від низької бази.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Енергія і собівартість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Промислова електроенергія і газ формують високий коридор витрат для енергоємних секторів.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Передбачуваний енергетичний коридор підтримує серійність і інвестиції.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Сектори працюють з ризиком зупинок, генераторної собівартості та слабкого planning horizon.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Інновації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Україна має 29,0% середнього інноваційного рівня ЄС за EIS 2025.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Відбудова вбудовує R&amp;D, цифровізацію, енергоефективність і нові продукти.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Фізичні активи відновлюються швидше, ніж технологічна продуктивність.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Бізнес-середовище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Премія ризику, доступ до фінансування і якість послуг для фірм залишаються обмеженнями.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Регуляторні, дозвільні, фінансові та інфраструктурні послуги стають частиною промислової політики.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Фірми виживають, але не накопичують достатньо капіталу для масштабування.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Європейський ринок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CBAM і Clean Industrial Deal змінюють умови доступу до попиту для енергоємних виробництв.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Україна готує продукцію і процеси до низьковуглецевого ринку.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Експортний доступ дорожчає, а частина ніш переходить конкурентам.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Макрофінанси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Бюджет, платіжний баланс і зовнішнє фінансування залишаються критичними для стійкості.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Промислове зростання збільшує податкову та валютну базу.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Залежність від зовнішньої підтримки зберігається довше, ніж економічно бажано.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Джерельна готовність і межі бенчмарку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Готові джерела підтримують фактичні твердження. [1] Методичні джерела підтримують спосіб вимірювання, але не дають самостійного числового висновку. Джерела з розривом захоплення не використовуються для фінальних фактичні твердження. Це особливо важливо для інноваційних, export-complexity та окремих турецьких стратегічних джерел, де без стабільного текстового або табличного захоплення легко створити ілюзію точності.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Клас джерела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Статус використання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Приклади SourceID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Правило для публічного тексту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Готові factual sources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Використані для фактів і числових тверджень.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-, -: GMK Center; GMK Center; U. S. EIA; Ukraine Fifth Rapid; Ukraine Fourth Rapid; Ukraine Fifth Rapid; STAT_ВВП_за_виробничим_методом.xlsx; MINFIN__Ukraine_BoP.xlsx; Ukraine Fifth Rapid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Можна посилати claim phrase і показувати SourceID.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Методичні джерела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Використані для пояснення процедури або рамки вимірювання.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S379, S385, S386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Не перетворюються на країновий числовий результат без окремого датасету.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GAP-status candidates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Не використані для фінальних фактичні твердження.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S381, S383, S384, S387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Можуть бути згадані лише як неактивні кандидати у джерельна готовність caveat.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Нормалізаційні винятки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Джерело має публічний інституційний шлях, але карта не дає чистого URL у первинному полі.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S125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У референсі використано публічний домен Держстату; факт позначено як статистичний ряд з обережністю.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Формульні блоки D2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Мета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Показати, яку частку довоєнної або контрольної бази відновив сектор.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RI_s = 100 × Current_s / Base_s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Параметри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Current_s - поточна точка сектору; Base_s - довоєнна або контрольна база; s - сектор.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джерел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Для кожного сектору використовується власний SourceID; різні фізичні одиниці не додаються.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RI_s = 35% означає, що сектор перебуває приблизно на третині контрольної бази.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Мета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Порівняти Україну з контрольним зовнішнім benchmark без твердження, що benchmark є шаблоном політики.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BG_i = 100 × (Benchmark_i − Ukraine_i) / Benchmark_i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Параметри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i - індикатор; Benchmark_i - значення Польщі, Туреччини або ЄС; Ukraine_i - українське значення.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джерел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Застосовується тільки там, де обидва значення мають готовий source path.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Кавеат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Для джерел з розрив захоплення формула не дає фінального публічного числа.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Мета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Виміряти відстань поточної точки до довоєнної бази.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PWG_s = 100 − RI_s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Параметри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RI_s - індекс відновлення сектору.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Якщо RI_s = 64,9%, то PWG_s = 35,1% від контрольної бази.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Кавеат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Не показує якість модернізації; лише фізичну або реальну відстань до бази.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Мета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Оцінити різницю між потенційною та інерційною траєкторією без дублювання прямої loss accounting.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OC_t = Potential_t − Inertial_t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Параметри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Potential_t - траєкторія за умов модернізації; Inertial_t - траєкторія за умов збереження поточного обмеження; t - рік.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джерел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Числовий результат дозволений лише там, де обидві траєкторії мають джерельне або модельне пояснення.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OC показує не пошкодження, а невикористану можливість.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Мета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Показати, де інерційне відновлення не закриває стратегічний розрив.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PVIC_k = Score_potential,k − Score_inertial,k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Параметри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k - вимір: виробництво, енергія, інновації, бізнес-середовище, експорт, фіскальна база.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Кавеат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Оцінка є порівняльною; її не слід читати як офіційний прогноз ВВП.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Високе PVIC означає, що політичне рішення має великий вплив на траєкторію.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Мета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Оцінити готовність сектору перейти від відновлення до модернізації.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SRS_s = w1×RI_s + w2×Energy_s + w3×Labour_s + w4×Finance_s + w5×Tech_s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Параметри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w - ваги; Energy, Labour, Finance, Tech - нормовані 0-100 компоненти.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Кавеат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цей блок не фіналізує ваги; вона показує структуру майбутнього score audit.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Сектор із низьким RI, високою енергоємністю і слабким доступом до капіталу має нижчу readiness.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Мета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Відокремити фізичне відновлення від технологічного зближення.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IPG = 100 − InnovationIndex_UA/EU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Параметри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InnovationIndex_UA/EU - частка показника України до середнього ЄС.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Поточний приклад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 EIS 2025: IPG = 100 − 29,0 = 71,0 пунктів до середнього ЄС.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Кавеат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Це не оцінка всіх технологій; це інноваційний бенчмарк з одного європейського інструмента.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Мета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Показати, наскільки індикатор готовий до публічного використання.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DCS = 0,4×SourceReady + 0,25×PeriodClear + 0,2×UnitClear + 0,15×ComparabilityClear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Параметри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Кожен компонент оцінюється від 0 до 1.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Кавеат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DCS не замінює джерело; він показує рівень довіри до порівняння.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DCS &lt; 0,7 означає, що індикатор треба залишити як caveat або методичний кандидат.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Методичні блоки D2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Вибрати порівняння, які контролюють продуктивність, масштаб, інновації та бізнес-середовище.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дані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Україна 2020-2025; Польща як convergence benchmark; Туреччина як production-scale benchmark; ЄС як інноваційний і бенчмарк чистої промисловості.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Бенчмарк не є рецептом; він є зовнішньою межею перевірки.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Кавеат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Країни мають різні воєнні, демографічні, інституційні та енергетичні умови.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Коректний висновок: що має бути виміряно, а не що треба копіювати.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Зібрати 2020-2025 поточну позицію до сценарних припущень.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дані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ВВП, ВДВ, курс, бюджет, платіжний баланс, демографія, секторні фізичні індикатори.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Кожний індикатор має рік, одиницю, об’єкт порівняння і SourceID.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Кавеат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War-period comparability breaks не згладжуються.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Матриця показує стартову нерівномірність, а не фінальний прогноз.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Показати частку відновлення до довоєнної або контрольної бази.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дані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Поточна точка сектору; довоєнна база; секторний SourceID.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Не підсумовувати різні фізичні одиниці; порівнювати тільки частку до бази.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Кавеат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Індекс відновлення не показує якість модернізації.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Низький RI означає високий розрив до довоєнного потенціалу.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Використати дві зовнішні траєкторії для контролю конвергенція і масштаб.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дані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OECD Poland 2025, OECD Türkiye 2025, World Bank Poland overview, OECD Ecoscope Türkiye.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Читати Польщу як конвергенцію, Туреччину як масштаб і обмеження продуктивності.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Кавеат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Не використовувати країни як готові політичні шаблони.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Український потенціал потребує власної траєкторії, але з вимірюваним зовнішнім горизонтом.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Показати невикористану можливість між потенційною та інерційною траєкторією.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дані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Індекс відновлення, інноваційний розрив, енергетичний коридор, business environment, macro frame.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Не дублювати direct damage, D1 loss accounting або V2 GDP bridge.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Кавеат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Без готових траєкторій OC залишається формульною рамкою, а не фінальним числом.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Ціна інерції - це втрата продуктивності, часу і складності, а не тільки відсутній обсяг.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198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дані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Кавеат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198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дані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Кавеат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Показати, як D2 живить сценарії без написання J1.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дані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матриця поточної позиції, індекс відновлення, енергетичний коридор, інноваційний розрив, бенчмарк-розрив.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цей блок завершується стартовою позицією і таблицею potential vs inertial.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Кавеат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Сценарні ваги, ймовірності і політичні пакети належать наступним артефактам.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D2 дає основу, на якій сценарій стає перевірним, а не декларативним.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Навігаційні питання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Яка стартова позиція України у 2020-2025 роках перед сценарним плануванням?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Які сектори вже відновили більшу частину фізичної бази, а які залишаються далеко від довоєнної точки?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Чому 2021 рік важливий як контрольна база, але не як модель повернення?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Чому Польща і Туреччина є контрольними бенчмарками, а не шаблонами для копіювання?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Як EU clean industry та innovation benchmark змінюють вимоги до української промисловості?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Чим ціна невикористаної можливості інерції відрізняється від прямої loss accounting і від ВВП-прогнозу?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Що показує potential-vs-inertial table? [1]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References used in this artifact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Висновки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міжнародних бенчмарках вирішальною стає послідовність кроків, що зменшує ціну затримки і підсилює виробничу спроможність.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реагує на дисципліну виконання, зрозуміле правило входу і нижчу ціну ризику. [1] Там, де ці умови формуються, воєнна невизначеність переходить у фактор, який можна оцінити, страхувати і закладати в інвестиційну модель.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Праця, інженерні команди і нові виробничі ініціативи тримаються там, де видно реальний фронт роботи, стабільний попит і довший горизонт контракту. [1] Такий зв'язок між рішенням і щоденною економічною поведінкою визначає темп повернення людей та компетенцій.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Суспільна стійкість залежить від прозорих правил, нових виробництв, передбачуваних сервісів і реальної інтеграції тих, хто повертається з війни або вимушеного переміщення. [1] Без цієї опори навіть сильні інвестиційні рішення не переходять у повноцінний цикл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Подальший крок полягає у зміні сигналів, які можна перевірити повторно. [1] Через них державні рішення, приватний капітал і робота фахівців переходять із режиму виживання в режим контрольованого розвитку.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Список джерел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[1] S122 World Bank; United Nations; European Commission - Ukraine Fifth Rapid Damage and Needs Assessment (RDNA5) [Електронний ресурс]. worldbank.org,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[2] S087 National Bank of Ukraine (NBU) — FSR 2025 H1 eng [Електронний ресурс]. - bank.gov.ua. - null. - Режим доступу: https://bank.gov.ua/admin_uploads/article/FSR_2025-H1_eng.pdf.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[3] S091 International Monetary Fund (IMF) — ukr [Електронний ресурс]. - www.imf.org. - null. - Режим доступу: https://www.imf.org/en/countries/ukr.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[4] S363 IMF — Ukraine country page [Електронний ресурс]. - imf.org. - "live page, accessed 2026-05-18". - Режим доступу: https://www.imf.org/en/countries/ukr.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[5] S364 World Bank — Ukraine Macro Poverty Outlook, April 2026 [Електронний ресурс]. - thedocs.worldbank.org. - "2026-04". - Режим доступу: https://thedocs.worldbank.org/en/doc/d5f32ef28464d01f195827b7e020a3e8-0500022021/related/mpo-ukr.pdf.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[6] S365 EBRD — Ukraine maintains macroeconomic stability despite war [Електронний ресурс]. - ebrd.com. - "2026-02-26". - Режим доступу: https://www.ebrd.com/home/news-and-events/news/2026/ukraine-maintains-macroeconomic-stability-despite-war---ebrd-rep.html.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[7] S366 OECD — Ukraine Economic Snapshot [Електронний ресурс]. - oecd.org. - "live page; Dec 2025 projection note". - Режим доступу: https://www.oecd.org/en/topics/sub-issues/economic-surveys/ukraine-economic-snapshot.html.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[8] S370 OECD‑FAO — Agricultural Outlook 2025–2034 [Електронний ресурс]. - oecd.org. - "2025-07". - Режим доступу: https://www.oecd.org/en/publications/2025/07/oecd-fao-agricultural-outlook-2025-2034_3eb15914.html.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[9] S367 NBU — Inflation Report, April 2026 [Електронний ресурс]. - bank.gov.ua. - "2026-04". - Режим доступу: https://bank.gov.ua/admin_uploads/article/IR_2026-Q2_summary_en.pdf?v=17.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[10] S368 worldsteel — Short Range Outlook April 2026 [Електронний ресурс]. - worldsteel.org. - "2026-04-14". - Режим доступу: https://worldsteel.org/media/press-releases/2026/worldsteel-short-range-outlook-april-2026/.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[11] S372 OECD. Ukraine’s Strategic Response to the Displacement Crisis [Електронний ресурс]. OECD, 2026. Режим доступу: https://www.oecd.org/en/publications/ukraine-s-strategic-response-to-the-displacement-crisis_9b773da4-en.html. Дата звернення: 2026-05-25.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[12] S369 IEA — Electricity 2026 [Електронний ресурс]. - iea.org. - "2026". - Режим доступу: https://www.iea.org/reports/electricity-2026/executive-summary.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[13] S371 European Commission — Carbon Border Adjustment Mechanism [Електронний ресурс]. - taxation-customs.ec.europa.eu. - "live page; definitive regime from 2026". - Режим доступу: https://taxation-customs.ec.europa.eu/carbon-border-adjustment-mechanism_en.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9" w:lineRule="auto"/>
      <w:jc w:val="both"/>
    </w:pPr>
    <w:rPr>
      <w:rFonts w:ascii="Arial" w:hAnsi="Arial" w:eastAsia="Arial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120"/>
      <w:jc w:val="left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120"/>
      <w:jc w:val="left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jc w:val="left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20" w:after="120"/>
      <w:jc w:val="left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120"/>
      <w:contextualSpacing/>
      <w:jc w:val="left"/>
    </w:pPr>
    <w:rPr>
      <w:rFonts w:asciiTheme="majorHAnsi" w:eastAsiaTheme="majorEastAsia" w:hAnsiTheme="majorHAnsi" w:cstheme="majorBidi" w:ascii="Arial" w:hAnsi="Arial" w:eastAsia="Arial"/>
      <w:color w:val="00000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Arial" w:hAnsi="Arial" w:eastAsia="Arial"/>
      <w:b/>
      <w:bCs/>
      <w:color w:val="000000"/>
      <w:sz w:val="22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ebrd.com/home/news-and-events/news/2026/ukraine-maintains-macroeconomic-stability-despite-war---ebrd-rep.html" TargetMode="External"/><Relationship Id="rId10" Type="http://schemas.openxmlformats.org/officeDocument/2006/relationships/hyperlink" Target="https://bank.gov.ua/admin_uploads/article/IR_2026-Q2_summary_en.pdf?v=17" TargetMode="External"/><Relationship Id="rId11" Type="http://schemas.openxmlformats.org/officeDocument/2006/relationships/hyperlink" Target="https://bank.gov.ua/admin_uploads/article/FSR_2025-H1_eng.pdf" TargetMode="External"/><Relationship Id="rId12" Type="http://schemas.openxmlformats.org/officeDocument/2006/relationships/hyperlink" Target="https://worldsteel.org/media/press-releases/2026/worldsteel-short-range-outlook-april-2026/" TargetMode="External"/><Relationship Id="rId13" Type="http://schemas.openxmlformats.org/officeDocument/2006/relationships/hyperlink" Target="https://www.iea.org/reports/electricity-2026/executive-summary" TargetMode="External"/><Relationship Id="rId14" Type="http://schemas.openxmlformats.org/officeDocument/2006/relationships/hyperlink" Target="https://taxation-customs.ec.europa.eu/carbon-border-adjustment-mechanism_en" TargetMode="External"/><Relationship Id="rId15" Type="http://schemas.openxmlformats.org/officeDocument/2006/relationships/hyperlink" Target="https://documents1.worldbank.org/curated/en/099022026094036395/pdf/P514499-22f93f3a-4278-42bc-b907-db9553d1206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