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 w:after="200"/>
        <w:jc w:val="left"/>
      </w:pPr>
      <w:r>
        <w:rPr>
          <w:rFonts w:ascii="Arial" w:hAnsi="Arial" w:eastAsia="Arial"/>
          <w:b/>
          <w:i w:val="0"/>
          <w:color w:val="000000"/>
          <w:sz w:val="56"/>
        </w:rPr>
        <w:t>Систематизація ризиків реіндустріалізації України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У ризиковому контурі вже видно межу між адаптацією і новим циклом зростання. [1] Далі вирішальними стають швидкість виконання, ціна затримки і здатність утримувати матеріальний результат під воєнним тиском.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Державні рішення тут одночасно працюють з бюджетним обмеженням, безпековим ризиком і потребою зберегти довший горизонт дії. [2] Від цього залежить, які кроки дають короткий ефект, а які створюють нову спроможність на роки вперед.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Капітал заходить туди, де видно керований контур виконання, межу ризику і шлях повернення грошей. [3]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Фахівці, підприємці, виробничі команди і люди, що повертаються до цивільної економіки, шукають робочу базу, стабільний дохід, сучасні виробництва і зрозумілу перспективу професійної реалізації. [4] На цьому тримається довший кадровий ресурс для зростання.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Воєнний горизонт лишається над усією економічною рамкою. [5] Країна одночасно тримає фронт, підтримує тил, готує повернення військових до цивільного життя і шукає ресурс для нового циклу розвитку, тому далі важливо побачити керовані точки зміни.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Метод систематизації ризиків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Ризикова таксономія E1 відштовхується від практичного питання: [6] який саме механізм може зупинити або сповільнити промислову траєкторію, навіть коли секторні програми виглядають логічними на папері. Для військового ризику таким механізмом є фізична втрата активів і невизначеність безпеки; для енергетичного - перерви постачання, дефіцит потужності й тарифний тиск; для фінансового - премія ризику та нестача довгого капіталу; для демографічного - звуження трудової бази; для технологічного - відставання R&amp;D і слабкість інноваційних інструментів; для глобального - зміна правил торгівлі, CBAM і перебудова ланцюгів вартості.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Метод не приховує різну якість доказів. [7] Частина тверджень спирається на офіційні або міжнародні джерела, наприклад оцінку енергетичної безпеки України в контексті зимового періоду (S395) чи європейський механізм CBAM з остаточним режимом від 2026 року (S049). Частина фактів походить з галузевих джерел і публічних графів, зокрема щодо тарифів, експорту, активів або інвестицій. Там, де джерело є частковим, E1 прямо обмежує силу висновку і переводить його в ранній сигнал, а не в остаточний висновок.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Канал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Джерело ризику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Операційний механізм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Уражені suit-и (affected suits)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Ранні сигнали</w:t>
            </w:r>
          </w:p>
        </w:tc>
        <w:tc>
          <w:tcPr>
            <w:tcW w:type="dxa" w:w="794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Військовий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Тривалість бойових дій, повторні удари, окупація або знищення активів.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Пошкодження, втрати активів, безпекова премія, зміна географії виробництва.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A1-A6, B2, B4, G1-G2, D1-D2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нові удари по промислових вузлах; зростання пошкоджень; страхова недоступність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Енергетичний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Руйнування генерації, мереж і паливної інфраструктури.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Перерви виробництва, вища собівартість, борги ринку, імпортозалежність.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A1-A6, A2, B2, B3, B4, V1-V4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обмеження потужності; графіки відключень; імпорт; price caps; борги балансуючого ринку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Фінансовий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Висока премія ризику, обмежений довгий капітал, залежність від зовнішньої підтримки.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Недоінвестування, відкладена модернізація, слабка серійність відновлення.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B4, A1-A6, V1-V4, D1-D2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падіння ПІІ; висока ставка кредиту; затримки інструментів де-ризикування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Демографічний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Міграція, ВПО, мобілізація, скорочення активної робочої сили.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Дефіцит кадрів, регіональні перекоси, нижча продуктивність запуску проектів.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B1, G1-G2, A1, A3-A6, V1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частка бізнесів з труднощами найму; повернення/неповернення біженців; дефіцит інженерів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Технологічний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Низька інтенсивність R&amp;D, слабкість інноваційних інструментів, розрив із ЄС.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Втрата продуктивності, повільна модернізація, ризик технологічної залежності.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A1, A3, A4, A5, A6, B4, V1-V4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R&amp;D до ВВП; інноваційні рейтинги; відсутність серійних технологічних програм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Геополітичний / глобальні ланцюги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Фрагментація торгівлі, CBAM, зміна правил доступу до ринків.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Зміна експортної географії, зростання compliance-витрат, ризик втрати позицій у GVC.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A1, A3, A4, A6, B2, B4, V4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CBAM-витрати; зміна попиту ЄС; trade restrictions; reshoring/nearshoring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Військовий канал: безпека активів, географія виробництва і тривалість невизначеності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Військовий канал також створює регіональну асиметрію. [1] Він підсилює G1/G2, тому що промислові рішення переходять від простого вибору підприємства до вибору безпечного регіону, логістичного коридору і трудової бази. Це не означає повної релокації промисловості із Сходу чи Півдня; показує потребу в диференційованій промисловій географії, де відновлення активу поєднане із захистом, резервним енергоживленням, доступом до кадрів і транспортною стійкістю.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Межа доказів для військового каналу. [2] Каскадні ефекти між регіонами, енергетикою і фінансами мають оцінюватися окремо. Джерела: S372, S175.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Енергетичний канал: доступна потужність, тарифи і промислова безперервність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Межа доказів для енергетичного каналу. [3] Енергетичні факти можуть бути дуже часово чутливими. E1 фіксує їх як канал і ранні сигнали; повна оцінка сценарної ваги залежить від оновлення балансу, ремонтів, імпорту, ППО, регуляторних рішень і структури споживання. Джерела: S395, S177, S103.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Фінансовий канал: премія ризику, довгий капітал і межа інвестиційної модернізації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Зовнішній фінансовий контур лишається частиною ризикової системи. [4] НБУ, МВФ, ЄС, Світовий банк і ЄБРР формують макрофінансову рамку, яка підтримує бюджет, резерви та короткострокову стабільність. нова програма МВФ для України обсягом $</w:t>
      </w:r>
      <w:hyperlink r:id="rId9">
        <w:r>
          <w:rPr>
            <w:rFonts w:ascii="Arial" w:hAnsi="Arial" w:eastAsia="Arial"/>
            <w:sz w:val="24"/>
            <w:color w:val="0000EE"/>
            <w:u w:val="single"/>
          </w:rPr>
          <w:t>8,1 млрд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(S382) і Ukraine Facility Європейського Союзу (S385) працюють як джерела стабілізації, але для цього блоку важливо бачити межу: зовнішня підтримка не автоматично перетворюється на приватні інвестиції в серійне виробництво.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Фінансовий канал перетинається з B4, V2-V4 і D1/D2. [5] Він впливає на те, чи стає відновлення капітальним оновленням, чи залишається підтримкою поточної стійкості. Якщо кредит дорогий, страхування неповне, а горизонт окупності невизначений, підприємства відкладають модернізацію, зберігають старі технології або працюють на коротких контрактах.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Межа доказів для фінансового каналу. [6] FDI та кредитні дані показують поведінку капіталу, але не доводять автоматично провал чи успіх інвестиційної політики. Для такого висновку потрібна окрема оцінка інструментів, sector виробничий контур і проектної готовності. Джерела: S085, S382, S385.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Демографічний канал: трудова база, міграція і регіональна спроможність виконання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Межа доказів для демографічного каналу. [8] Демографічні оцінки мають різні методики й територіальне покриття. Джерела: S154, S160, S164, S354.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Технологічний канал: R&amp;D, інноваційні інструменти і ризик втраченої серійності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Європейський та міжнародний інноваційний контур підтверджує, що ризик є відносним: [12] інші країни рухаються швидко. European Innovation Scoreboard 2025 для України фіксує падіння firm investments in R&amp;I (S399), а WIPO Global Innovation Index 2025 показує позицію України за innovation outputs (S400). Для цього блоку важливо не перетворювати ці індекси на загальний verdict. Їхня функція - показати, де technology gap може перейти в промисловий ризик: серійність, продуктивність, стандарти, експортна відповідність і здатність інтегруватися в європейські технологічні програми.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Межа доказів для технологічного каналу. [7] Індекси інновацій і R&amp;D/GDP не є повною оцінкою технологічної спроможності. Вони показують напрям розриву й потребують зіставлення з галузевими програмами, закупівлями, серійністю та експортними стандартами. Джерела: S399, S400, S401.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Геополітичний і глобально-ланцюговий канал: ринки, CBAM і перебудова GVC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Глобально-ланцюговий ризик виникає тоді, коли зовнішній ринок змінює правила швидше, ніж українська промисловість встигає адаптувати структуру виробництва. [9] Для металургії таким правилом є CBAM: остаточний режим CBAM стартує з 1 січня 2026 року (S049).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Зовнішній попит також не можна припускати як автоматичний драйвер. [10] UNCTAD попереджає про слабке глобальне середовище, де global growth is projected to remain subdued at about </w:t>
      </w:r>
      <w:hyperlink r:id="rId10">
        <w:r>
          <w:rPr>
            <w:rFonts w:ascii="Arial" w:hAnsi="Arial" w:eastAsia="Arial"/>
            <w:sz w:val="24"/>
            <w:color w:val="0000EE"/>
            <w:u w:val="single"/>
          </w:rPr>
          <w:t>2.6%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in 2026 (S373), а WTO і UNCTAD окремо фіксують напруженість і фрагментацію торгівлі (S375; S374).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Глобальні ланцюги вартості не слід трактувати як простий заклик до reshoring. [11] OECD прямо застерігає, що жодна зі стратегій перебудови global value chains не є універсальним рішенням (S403). Для цього блоку це важливо: ризик втрати позицій у GVC має оцінюватися через конкретні канали - компонентна залежність, сировинність експорту, compliance requirements, логістичні витрати й здатність створювати високу додану вартість.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Межа доказів для глобально-ланцюгового каналу. [13] E1 фіксує ризик втрати позицій у глобальних ланцюгах як канал доступу до ринку і compliance. Повна оцінка trade balance, currency inflows і balance-of-payments належить до V4. Джерела: S378, S379, S403.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Мапування ризиків до suit-ів (risk-to-suit) mapping без ранжування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Мапування ризиків до suit-ів потрібне для того, щоб читач бачив, де саме risk family стає робочим обмеженням книги. [1] Воно не створює ієрархії ризиків. Наприклад, енергетичний канал одночасно торкається A2 як власного сектору, B3 як тарифної пастки, A1/A3/A4/A5/A6 як споживачів енергії і B4 як інвестиційного ризику. Демографічний канал має іншу геометрію: він найбільше входить через B1, G1/G2 і execution capacity секторів, а не через тарифну чи зовнішньоторговельну логіку.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Suit (suit)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Канали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Що саме уражається</w:t>
            </w:r>
          </w:p>
        </w:tc>
        <w:tc>
          <w:tcPr>
            <w:tcW w:type="dxa" w:w="850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A1 Металургія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Військовий; енергетичний; фінансовий; технологічний; GVC/CBAM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активи, потужності, energy cost, декарбонізація, експорт ЄС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A2 Енергетика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Військовий; енергетичний; фінансовий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доступна потужність, генерація, імпорт, price caps, борги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A3 Хімія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Енергетичний; фінансовий; технологічний; GVC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газ, експорт, R&amp;D, добрива, зовнішній попит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A4 Машинобудування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Демографічний; технологічний; енергетичний; GVC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серійність, інженери, blackouts, EU exports, defense tech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A5 Будівництво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Військовий; енергетичний; фінансовий; демографічний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попит відбудови, матеріали, праця, ціна входу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A6 АПК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Демографічний; енергетичний; GVC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праця, логістика, переробка, експортні канали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B1 Людський капітал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Демографічний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населення, міграція, ВПО, найм, зайнятість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B2 Інфраструктура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Військовий; енергетичний; GVC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транспортні пошкодження, порти, енергомережі, corridors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B3 Тарифна пастка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Енергетичний; фінансовий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електрика, газ, УЗ, price caps, cross-subsidy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B4 Фінанси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Фінансовий; військовий; енергетичний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FDI, credit, guarantees, risk tools, needs envelope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V1-V4, G1-G2, D1-D2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усі канали як bridge layer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агрегація, макро, зовнішній сектор, регіони, losses/current state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Ранні сигнали і межі доказової впевненості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Система ранніх сигналів для цього блоку має залишатися простою для сприйняття і достатньо точною для аналітики. [1]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Канал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Сигнали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Ритм оновлення</w:t>
            </w:r>
          </w:p>
        </w:tc>
        <w:tc>
          <w:tcPr>
            <w:tcW w:type="dxa" w:w="850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Військовий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нові пошкодження активів; зміна статусу підприємств; потреба у захисті; страхова недоступність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місячно / подійно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Енергетичний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доступна потужність; генерація; імпорт; графіки відключень; борги балансуючого ринку; price caps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тижнево / місячно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Фінансовий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ПІІ; corporate credit; ставка; гарантії; резерви; затримка зовнішньої допомоги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квартально / подійно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Демографічний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temporary protection; ВПО; returnees; найм; промислова зайнятість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квартально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Технологічний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R&amp;D/GDP; firm R&amp;I; GII/EIS; defense-tech перетік; кількість серійних програм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річно / піврічно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GVC/геополітичний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CBAM milestones; EU trade; світовий попит; reshoring/nearshoring; логістичні обмеження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квартально / річно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Клас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Опис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Приклад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Навігація</w:t>
            </w:r>
          </w:p>
        </w:tc>
        <w:tc>
          <w:tcPr>
            <w:tcW w:type="dxa" w:w="794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Факт високої впевненості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офіційна або міжнародна оцінка з чітким періодом і одиницею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$588 млрд needs; $195 млрд direct damages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/ B4-G01: Ukraine Fifth Rapid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Операційний факт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ринкова або системна змінна з коротким терміном актуальності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імпорт електроенергії у січні 2026; доступна потужність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/ A2-G04; / A2-G01: IEA; Reuters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Галузевий факт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дані галузевого джерела або sector report із чіткою сферою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ціни енергії GMK; експорт металопродукції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GMK Center; GMK Center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Benchmark / індекс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порівняльний індикатор, що не замінює повного diagnosis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EIS, GII, R&amp;D/GDP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S399; S400; A4-G07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Часткова оцінка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потребує cross-check або уточнення території, методики, дати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населення підконтрольної території 22-25 млн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B1-G01: Стаття: населення на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Висновки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У ризиковому контурі вирішальною стає послідовність кроків, що зменшує ціну затримки і підсилює виробничу спроможність. [1]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Капітал реагує на дисципліну виконання, зрозуміле правило входу і нижчу ціну ризику. [1] Там, де ці умови формуються, воєнна невизначеність переходить у фактор, який можна оцінити, страхувати і закладати в інвестиційну модель.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Праця, інженерні команди і нові виробничі ініціативи тримаються там, де видно реальний фронт роботи, стабільний попит і довший горизонт контракту. [1] Такий зв'язок між рішенням і щоденною економічною поведінкою визначає темп повернення людей та компетенцій.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Суспільна стійкість залежить від прозорих правил, нових виробництв, передбачуваних сервісів і реальної інтеграції тих, хто повертається з війни або вимушеного переміщення. [1] Без цієї опори навіть сильні інвестиційні рішення не переходять у повноцінний цикл зростання.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Подальший крок полягає у зміні сигналів, які можна перевірити повторно. [1] Через них державні рішення, приватний капітал і робота фахівців переходять із режиму виживання в режим контрольованого розвитку.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Список джерел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[1] S122 World Bank; United Nations; European Commission - Ukraine Fifth Rapid Damage and Needs Assessment (RDNA5) [Електронний ресурс]. worldbank.org, 2026.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[2] S087 National Bank of Ukraine (NBU) — FSR 2025 H1 eng [Електронний ресурс]. - bank.gov.ua. - null. - Режим доступу: https://bank.gov.ua/admin_uploads/article/FSR_2025-H1_eng.pdf.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[3] S091 International Monetary Fund (IMF) — ukr [Електронний ресурс]. - www.imf.org. - null. - Режим доступу: https://www.imf.org/en/countries/ukr.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[4] S363 IMF — Ukraine country page [Електронний ресурс]. - imf.org. - "live page, accessed 2026-05-18". - Режим доступу: https://www.imf.org/en/countries/ukr.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[5] S364 World Bank — Ukraine Macro Poverty Outlook, April 2026 [Електронний ресурс]. - thedocs.worldbank.org. - "2026-04". - Режим доступу: https://thedocs.worldbank.org/en/doc/d5f32ef28464d01f195827b7e020a3e8-0500022021/related/mpo-ukr.pdf.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[6] S365 EBRD — Ukraine maintains macroeconomic stability despite war [Електронний ресурс]. - ebrd.com. - "2026-02-26". - Режим доступу: https://www.ebrd.com/home/news-and-events/news/2026/ukraine-maintains-macroeconomic-stability-despite-war---ebrd-rep.html.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[7] S367 NBU — Inflation Report, April 2026 [Електронний ресурс]. - bank.gov.ua. - "2026-04". - Режим доступу: https://bank.gov.ua/admin_uploads/article/IR_2026-Q2_summary_en.pdf?v=17.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[8] S366 OECD — Ukraine Economic Snapshot [Електронний ресурс]. - oecd.org. - "live page; Dec 2025 projection note". - Режим доступу: https://www.oecd.org/en/topics/sub-issues/economic-surveys/ukraine-economic-snapshot.html.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[9] S368 worldsteel — Short Range Outlook April 2026 [Електронний ресурс]. - worldsteel.org. - "2026-04-14". - Режим доступу: https://worldsteel.org/media/press-releases/2026/worldsteel-short-range-outlook-april-2026/.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[10] S369 IEA — Electricity 2026 [Електронний ресурс]. - iea.org. - "2026". - Режим доступу: https://www.iea.org/reports/electricity-2026/executive-summary.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[11] S370 OECD‑FAO — Agricultural Outlook 2025–2034 [Електронний ресурс]. - oecd.org. - "2025-07". - Режим доступу: https://www.oecd.org/en/publications/2025/07/oecd-fao-agricultural-outlook-2025-2034_3eb15914.html.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[12] S371 European Commission — Carbon Border Adjustment Mechanism [Електронний ресурс]. - taxation-customs.ec.europa.eu. - "live page; definitive regime from 2026". - Режим доступу: https://taxation-customs.ec.europa.eu/carbon-border-adjustment-mechanism_en.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[13] S372 OECD. Ukraine’s Strategic Response to the Displacement Crisis [Електронний ресурс]. OECD, 2026. Режим доступу: https://www.oecd.org/en/publications/ukraine-s-strategic-response-to-the-displacement-crisis_9b773da4-en.html. Дата звернення: 2026-05-25.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59" w:lineRule="auto"/>
      <w:jc w:val="both"/>
    </w:pPr>
    <w:rPr>
      <w:rFonts w:ascii="Arial" w:hAnsi="Arial" w:eastAsia="Arial"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20" w:after="120"/>
      <w:jc w:val="left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00000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120"/>
      <w:jc w:val="left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0000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120"/>
      <w:jc w:val="left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000000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120" w:after="120"/>
      <w:jc w:val="left"/>
      <w:outlineLvl w:val="3"/>
    </w:pPr>
    <w:rPr>
      <w:rFonts w:asciiTheme="majorHAnsi" w:eastAsiaTheme="majorEastAsia" w:hAnsiTheme="majorHAnsi" w:cstheme="majorBidi" w:ascii="Arial" w:hAnsi="Arial" w:eastAsia="Arial"/>
      <w:b/>
      <w:bCs/>
      <w:i/>
      <w:iCs/>
      <w:color w:val="000000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 w:before="120"/>
      <w:contextualSpacing/>
      <w:jc w:val="left"/>
    </w:pPr>
    <w:rPr>
      <w:rFonts w:asciiTheme="majorHAnsi" w:eastAsiaTheme="majorEastAsia" w:hAnsiTheme="majorHAnsi" w:cstheme="majorBidi" w:ascii="Arial" w:hAnsi="Arial" w:eastAsia="Arial"/>
      <w:color w:val="000000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 w:before="80" w:after="160"/>
      <w:jc w:val="center"/>
    </w:pPr>
    <w:rPr>
      <w:rFonts w:ascii="Arial" w:hAnsi="Arial" w:eastAsia="Arial"/>
      <w:b/>
      <w:bCs/>
      <w:color w:val="000000"/>
      <w:sz w:val="22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imf.org/en/countries/ukr" TargetMode="External"/><Relationship Id="rId10" Type="http://schemas.openxmlformats.org/officeDocument/2006/relationships/hyperlink" Target="https://www.iea.org/reports/electricity-2026/executive-summ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