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200"/>
        <w:jc w:val="left"/>
      </w:pPr>
      <w:r>
        <w:rPr>
          <w:rFonts w:ascii="Arial" w:hAnsi="Arial" w:eastAsia="Arial"/>
          <w:b/>
          <w:i w:val="0"/>
          <w:color w:val="000000"/>
          <w:sz w:val="56"/>
        </w:rPr>
        <w:t>Оцінка ризиків реіндустріалізації України</w:t>
      </w:r>
    </w:p>
    <w:p>
      <w:pPr>
        <w:jc w:val="both"/>
      </w:pPr>
      <w:r>
        <w:rPr>
          <w:rFonts w:ascii="Arial" w:hAnsi="Arial" w:eastAsia="Arial"/>
          <w:b w:val="0"/>
          <w:i w:val="0"/>
          <w:color w:val="000000"/>
          <w:sz w:val="24"/>
        </w:rPr>
        <w:t>У ризиковій оцінці вже видно межу між адаптацією і новим циклом зростання. [1] Далі вирішальними стають швидкість виконання, ціна затримки і здатність утримувати матеріальний результат під воєнним тиском.</w:t>
      </w:r>
    </w:p>
    <w:p>
      <w:pPr>
        <w:jc w:val="both"/>
      </w:pPr>
      <w:r>
        <w:rPr>
          <w:rFonts w:ascii="Arial" w:hAnsi="Arial" w:eastAsia="Arial"/>
          <w:b w:val="0"/>
          <w:i w:val="0"/>
          <w:color w:val="000000"/>
          <w:sz w:val="24"/>
        </w:rPr>
        <w:t>Державні рішення тут одночасно працюють з бюджетним обмеженням, безпековим ризиком і потребою зберегти довший горизонт дії. [2] Від цього залежить, які кроки дають короткий ефект, а які створюють нову спроможність на роки вперед.</w:t>
      </w:r>
    </w:p>
    <w:p>
      <w:pPr>
        <w:jc w:val="both"/>
      </w:pPr>
      <w:r>
        <w:rPr>
          <w:rFonts w:ascii="Arial" w:hAnsi="Arial" w:eastAsia="Arial"/>
          <w:b w:val="0"/>
          <w:i w:val="0"/>
          <w:color w:val="000000"/>
          <w:sz w:val="24"/>
        </w:rPr>
        <w:t>Капітал заходить туди, де видно керований контур виконання, межу ризику і шлях повернення грошей. [3]</w:t>
      </w:r>
    </w:p>
    <w:p>
      <w:pPr>
        <w:jc w:val="both"/>
      </w:pPr>
      <w:r>
        <w:rPr>
          <w:rFonts w:ascii="Arial" w:hAnsi="Arial" w:eastAsia="Arial"/>
          <w:b w:val="0"/>
          <w:i w:val="0"/>
          <w:color w:val="000000"/>
          <w:sz w:val="24"/>
        </w:rPr>
        <w:t>Фахівці, підприємці, виробничі команди і люди, що повертаються до цивільної економіки, шукають робочу базу, стабільний дохід, сучасні виробництва і зрозумілу перспективу професійної реалізації. [4] На цьому тримається довший кадровий ресурс для зростання.</w:t>
      </w:r>
    </w:p>
    <w:p>
      <w:pPr>
        <w:jc w:val="both"/>
      </w:pPr>
      <w:r>
        <w:rPr>
          <w:rFonts w:ascii="Arial" w:hAnsi="Arial" w:eastAsia="Arial"/>
          <w:b w:val="0"/>
          <w:i w:val="0"/>
          <w:color w:val="000000"/>
          <w:sz w:val="24"/>
        </w:rPr>
        <w:t>Воєнний горизонт лишається над усією економічною рамкою. [5] Країна одночасно тримає фронт, підтримує тил, готує повернення військових до цивільного життя і шукає ресурс для нового циклу розвитку, тому далі важливо побачити керовані точки зміни.</w:t>
      </w:r>
    </w:p>
    <w:p>
      <w:pPr>
        <w:pStyle w:val="Heading1"/>
      </w:pPr>
      <w:r>
        <w:rPr>
          <w:rFonts w:ascii="Arial" w:hAnsi="Arial" w:eastAsia="Arial"/>
          <w:b/>
          <w:i w:val="0"/>
          <w:color w:val="000000"/>
          <w:sz w:val="44"/>
        </w:rPr>
        <w:t>Оцінка після таксономії ризиків</w:t>
      </w:r>
    </w:p>
    <w:p>
      <w:pPr>
        <w:jc w:val="both"/>
      </w:pPr>
      <w:r>
        <w:rPr>
          <w:rFonts w:ascii="Arial" w:hAnsi="Arial" w:eastAsia="Arial"/>
          <w:b w:val="0"/>
          <w:i w:val="0"/>
          <w:color w:val="000000"/>
          <w:sz w:val="24"/>
        </w:rPr>
        <w:t>Ризикова таксономія потрібна для впорядкування каналів загроз, але сама по собі вона не показує, який ризик має пріоритет у сценарному рішенні. [6] E2 починає з уже визначених каналів і перетворює їх на scored layer: кожен ризик отримує тригер, джерельну рамку, оцінку ймовірності, оцінку прямого впливу, оцінку каскадності, експозицію, розрив готовності та пакет запобіжників. Така побудова відповідає підходу, за яким критичні ризики управляються як цикл оцінки, попередження, реагування, відновлення і навчання, а не як статичний перелік загроз.</w:t>
      </w:r>
    </w:p>
    <w:p>
      <w:pPr>
        <w:jc w:val="both"/>
      </w:pPr>
      <w:r>
        <w:rPr>
          <w:rFonts w:ascii="Arial" w:hAnsi="Arial" w:eastAsia="Arial"/>
          <w:b w:val="0"/>
          <w:i w:val="0"/>
          <w:color w:val="000000"/>
          <w:sz w:val="24"/>
        </w:rPr>
        <w:t>Для України це розмежування має практичне значення. [7] Військова загроза може мати вищу критичність, ніж ризик із більшою статистичною частотою, якщо вона одночасно підвищує премію ризику, блокує інвестиції, шкодить енергетиці і змінює бюджетний контур.</w:t>
      </w:r>
    </w:p>
    <w:p>
      <w:pPr>
        <w:jc w:val="both"/>
      </w:pPr>
      <w:r>
        <w:rPr>
          <w:rFonts w:ascii="Arial" w:hAnsi="Arial" w:eastAsia="Arial"/>
          <w:b w:val="0"/>
          <w:i w:val="0"/>
          <w:color w:val="000000"/>
          <w:sz w:val="24"/>
        </w:rPr>
        <w:t>Документ адаптує цю логіку до воєнної економіки, де 2020-2025 є операційним доказовим вікном, а 2030-2035 є горизонтом сценарної перевірки. [8]</w:t>
      </w:r>
    </w:p>
    <w:tbl>
      <w:tblPr>
        <w:tblStyle w:val="TableGrid"/>
        <w:tblW w:type="auto" w:w="0"/>
        <w:jc w:val="left"/>
        <w:tblLayout w:type="fixed"/>
        <w:tblLook w:firstColumn="1" w:firstRow="1" w:lastColumn="0" w:lastRow="0" w:noHBand="0" w:noVBand="1" w:val="04A0"/>
      </w:tblPr>
      <w:tblGrid>
        <w:gridCol w:w="9746"/>
      </w:tblGrid>
      <w:tr>
        <w:tc>
          <w:tcPr>
            <w:tcW w:type="dxa" w:w="2438"/>
          </w:tcPr>
          <w:p>
            <w:pPr>
              <w:jc w:val="left"/>
            </w:pPr>
            <w:r/>
            <w:r>
              <w:rPr>
                <w:rFonts w:ascii="Arial" w:hAnsi="Arial" w:eastAsia="Arial"/>
                <w:b/>
                <w:i w:val="0"/>
                <w:color w:val="000000"/>
                <w:sz w:val="20"/>
              </w:rPr>
              <w:t>Опора</w:t>
            </w:r>
          </w:p>
        </w:tc>
      </w:tr>
    </w:tbl>
    <w:p>
      <w:pPr>
        <w:pStyle w:val="Heading1"/>
      </w:pPr>
      <w:r>
        <w:rPr>
          <w:rFonts w:ascii="Arial" w:hAnsi="Arial" w:eastAsia="Arial"/>
          <w:b/>
          <w:i w:val="0"/>
          <w:color w:val="000000"/>
          <w:sz w:val="44"/>
        </w:rPr>
        <w:t>Ризикова база 2020-2025</w:t>
      </w:r>
    </w:p>
    <w:p>
      <w:pPr>
        <w:jc w:val="both"/>
      </w:pPr>
      <w:r>
        <w:rPr>
          <w:rFonts w:ascii="Arial" w:hAnsi="Arial" w:eastAsia="Arial"/>
          <w:b w:val="0"/>
          <w:i w:val="0"/>
          <w:color w:val="000000"/>
          <w:sz w:val="24"/>
        </w:rPr>
        <w:t>До повномасштабної війни промисловість уже мала енергетичні, логістичні, кадрові, інвестиційні й технологічні обмеження; [9] після 2022 року ці обмеження стали одночасними і взаємопов’язаними.</w:t>
      </w:r>
    </w:p>
    <w:p>
      <w:pPr>
        <w:jc w:val="both"/>
      </w:pPr>
      <w:r>
        <w:rPr>
          <w:rFonts w:ascii="Arial" w:hAnsi="Arial" w:eastAsia="Arial"/>
          <w:b w:val="0"/>
          <w:i w:val="0"/>
          <w:color w:val="000000"/>
          <w:sz w:val="24"/>
        </w:rPr>
        <w:t>Енергетична безпека України є окремою поточною risk condition: [10] атаки на інфраструктуру, вразливість генерації та мереж і цінова волатильність створюють обмеження для енергоємних виробництв. Промислові ціни на електроенергію і газ підсилюють cost-risk для металургії, хімії, будматеріалів і машинобудування. У risk matrix показує, що енергетичний ризик має високу exposure і cascade, навіть якщо його конкретна ймовірність змінюється залежно від сезону, ремонту мереж і безпекової ситуації.</w:t>
      </w:r>
    </w:p>
    <w:p>
      <w:pPr>
        <w:jc w:val="both"/>
      </w:pPr>
      <w:r>
        <w:rPr>
          <w:rFonts w:ascii="Arial" w:hAnsi="Arial" w:eastAsia="Arial"/>
          <w:b w:val="0"/>
          <w:i w:val="0"/>
          <w:color w:val="000000"/>
          <w:sz w:val="24"/>
        </w:rPr>
        <w:t>Макрофінансова стабільність, інвестиційна та експортна рамка України і логістичні втрати та bottlenecks задають ще три базові обмеження. [11] Перше - залежність від зовнішньої підтримки і графіка фінансування. Друге - слабкість приватного CAPEX без гарантій, страхування та зрозумілої премії ризику. Третє - фізична та процедурна пропускна спроможність експортних шляхів. Усі три не повторюють макроекономічні чи секторальні розділи; вони входять у цьому блоці як score inputs для probability, impact, exposure і preparedness gap.</w:t>
      </w:r>
    </w:p>
    <w:tbl>
      <w:tblPr>
        <w:tblStyle w:val="TableGrid"/>
        <w:tblW w:type="auto" w:w="0"/>
        <w:jc w:val="left"/>
        <w:tblLayout w:type="fixed"/>
        <w:tblLook w:firstColumn="1" w:firstRow="1" w:lastColumn="0" w:lastRow="0" w:noHBand="0" w:noVBand="1" w:val="04A0"/>
      </w:tblPr>
      <w:tblGrid>
        <w:gridCol w:w="9746"/>
      </w:tblGrid>
      <w:tr>
        <w:tc>
          <w:tcPr>
            <w:tcW w:type="dxa" w:w="2438"/>
          </w:tcPr>
          <w:p>
            <w:pPr>
              <w:jc w:val="left"/>
            </w:pPr>
            <w:r/>
            <w:r>
              <w:rPr>
                <w:rFonts w:ascii="Arial" w:hAnsi="Arial" w:eastAsia="Arial"/>
                <w:b/>
                <w:i w:val="0"/>
                <w:color w:val="000000"/>
                <w:sz w:val="20"/>
              </w:rPr>
              <w:t>Опора</w:t>
            </w:r>
          </w:p>
        </w:tc>
      </w:tr>
    </w:tbl>
    <w:p>
      <w:pPr>
        <w:pStyle w:val="Heading1"/>
      </w:pPr>
      <w:r>
        <w:rPr>
          <w:rFonts w:ascii="Arial" w:hAnsi="Arial" w:eastAsia="Arial"/>
          <w:b/>
          <w:i w:val="0"/>
          <w:color w:val="000000"/>
          <w:sz w:val="44"/>
        </w:rPr>
        <w:t>Метод оцінювання: ймовірність, вплив, каскадність, експозиція і розрив готовності</w:t>
      </w:r>
    </w:p>
    <w:p>
      <w:pPr>
        <w:jc w:val="both"/>
      </w:pPr>
      <w:r>
        <w:rPr>
          <w:rFonts w:ascii="Arial" w:hAnsi="Arial" w:eastAsia="Arial"/>
          <w:b w:val="0"/>
          <w:i w:val="0"/>
          <w:color w:val="000000"/>
          <w:sz w:val="24"/>
        </w:rPr>
        <w:t>Метод цього блоку вводить одну базову формулу і кілька допоміжних формул для пояснення шкали. [12] Сутність проста: ризик зростає, коли подія імовірніша, має сильніший прямий вплив, здатна запускати каскади, потрапляє на вразливу систему і не перекривається підготовленими запобіжниками. Така структура узгоджується з підходом до національної оцінки ризиків, policy-cycle логікою і аналізом невизначеності для політичних рішень.</w:t>
      </w:r>
    </w:p>
    <w:p>
      <w:pPr>
        <w:jc w:val="both"/>
      </w:pPr>
      <w:r>
        <w:rPr>
          <w:rFonts w:ascii="Arial" w:hAnsi="Arial" w:eastAsia="Arial"/>
          <w:b w:val="0"/>
          <w:i w:val="0"/>
          <w:color w:val="000000"/>
          <w:sz w:val="24"/>
        </w:rPr>
        <w:t>Шкала: усі компоненти переводяться у діапазон 0-1 або 1-5, після чого результат нормується до 0-100. Ймовірність 0,70 не означає статистичну частоту; тут це calibrated scenario likelihood для горизонту оцінювання. [13]</w:t>
      </w:r>
    </w:p>
    <w:tbl>
      <w:tblPr>
        <w:tblStyle w:val="TableGrid"/>
        <w:tblW w:type="auto" w:w="0"/>
        <w:jc w:val="left"/>
        <w:tblLayout w:type="fixed"/>
        <w:tblLook w:firstColumn="1" w:firstRow="1" w:lastColumn="0" w:lastRow="0" w:noHBand="0" w:noVBand="1" w:val="04A0"/>
      </w:tblPr>
      <w:tblGrid>
        <w:gridCol w:w="1949"/>
        <w:gridCol w:w="1949"/>
        <w:gridCol w:w="1949"/>
        <w:gridCol w:w="1949"/>
        <w:gridCol w:w="1949"/>
      </w:tblGrid>
      <w:tr>
        <w:tc>
          <w:tcPr>
            <w:tcW w:type="dxa" w:w="2041"/>
          </w:tcPr>
          <w:p>
            <w:pPr>
              <w:jc w:val="left"/>
            </w:pPr>
            <w:r/>
            <w:r>
              <w:rPr>
                <w:rFonts w:ascii="Arial" w:hAnsi="Arial" w:eastAsia="Arial"/>
                <w:b/>
                <w:i w:val="0"/>
                <w:color w:val="000000"/>
                <w:sz w:val="20"/>
              </w:rPr>
              <w:t>ID формули</w:t>
            </w:r>
          </w:p>
        </w:tc>
        <w:tc>
          <w:tcPr>
            <w:tcW w:type="dxa" w:w="2081"/>
          </w:tcPr>
          <w:p>
            <w:pPr>
              <w:jc w:val="left"/>
            </w:pPr>
            <w:r/>
            <w:r>
              <w:rPr>
                <w:rFonts w:ascii="Arial" w:hAnsi="Arial" w:eastAsia="Arial"/>
                <w:b/>
                <w:i w:val="0"/>
                <w:color w:val="000000"/>
                <w:sz w:val="20"/>
              </w:rPr>
              <w:t>Назва</w:t>
            </w:r>
          </w:p>
        </w:tc>
        <w:tc>
          <w:tcPr>
            <w:tcW w:type="dxa" w:w="2081"/>
          </w:tcPr>
          <w:p>
            <w:pPr>
              <w:jc w:val="left"/>
            </w:pPr>
            <w:r/>
            <w:r>
              <w:rPr>
                <w:rFonts w:ascii="Arial" w:hAnsi="Arial" w:eastAsia="Arial"/>
                <w:b/>
                <w:i w:val="0"/>
                <w:color w:val="000000"/>
                <w:sz w:val="20"/>
              </w:rPr>
              <w:t>Формула / правило</w:t>
            </w:r>
          </w:p>
        </w:tc>
        <w:tc>
          <w:tcPr>
            <w:tcW w:type="dxa" w:w="2081"/>
          </w:tcPr>
          <w:p>
            <w:pPr>
              <w:jc w:val="left"/>
            </w:pPr>
            <w:r/>
            <w:r>
              <w:rPr>
                <w:rFonts w:ascii="Arial" w:hAnsi="Arial" w:eastAsia="Arial"/>
                <w:b/>
                <w:i w:val="0"/>
                <w:color w:val="000000"/>
                <w:sz w:val="20"/>
              </w:rPr>
              <w:t>Інтерпретація</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E2-FRM01</w:t>
            </w:r>
          </w:p>
        </w:tc>
        <w:tc>
          <w:tcPr>
            <w:tcW w:type="dxa" w:w="2081"/>
          </w:tcPr>
          <w:p>
            <w:pPr>
              <w:jc w:val="left"/>
            </w:pPr>
            <w:r/>
            <w:r>
              <w:rPr>
                <w:rFonts w:ascii="Arial" w:hAnsi="Arial" w:eastAsia="Arial"/>
                <w:b w:val="0"/>
                <w:i w:val="0"/>
                <w:color w:val="000000"/>
                <w:sz w:val="20"/>
              </w:rPr>
              <w:t>Базова оцінка ризику</w:t>
            </w:r>
          </w:p>
        </w:tc>
        <w:tc>
          <w:tcPr>
            <w:tcW w:type="dxa" w:w="2081"/>
          </w:tcPr>
          <w:p>
            <w:pPr>
              <w:jc w:val="left"/>
            </w:pPr>
            <w:r/>
            <w:r>
              <w:rPr>
                <w:rFonts w:ascii="Arial" w:hAnsi="Arial" w:eastAsia="Arial"/>
                <w:b w:val="0"/>
                <w:i w:val="0"/>
                <w:color w:val="000000"/>
                <w:sz w:val="20"/>
              </w:rPr>
              <w:t>Оцінка ризику = 100 × ймовірність × (вплив/5) × (каскадність/5) × (експозиція/5) × (1 − готовність)</w:t>
            </w:r>
          </w:p>
        </w:tc>
        <w:tc>
          <w:tcPr>
            <w:tcW w:type="dxa" w:w="2081"/>
          </w:tcPr>
          <w:p>
            <w:pPr>
              <w:jc w:val="left"/>
            </w:pPr>
            <w:r/>
            <w:r>
              <w:rPr>
                <w:rFonts w:ascii="Arial" w:hAnsi="Arial" w:eastAsia="Arial"/>
                <w:b w:val="0"/>
                <w:i w:val="0"/>
                <w:color w:val="000000"/>
                <w:sz w:val="20"/>
              </w:rPr>
              <w:t>Показує сценарну інтенсивність ризику на шкалі 0-100.</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E2-FRM02</w:t>
            </w:r>
          </w:p>
        </w:tc>
        <w:tc>
          <w:tcPr>
            <w:tcW w:type="dxa" w:w="2081"/>
          </w:tcPr>
          <w:p>
            <w:pPr>
              <w:jc w:val="left"/>
            </w:pPr>
            <w:r/>
            <w:r>
              <w:rPr>
                <w:rFonts w:ascii="Arial" w:hAnsi="Arial" w:eastAsia="Arial"/>
                <w:b w:val="0"/>
                <w:i w:val="0"/>
                <w:color w:val="000000"/>
                <w:sz w:val="20"/>
              </w:rPr>
              <w:t>Ймовірність</w:t>
            </w:r>
          </w:p>
        </w:tc>
        <w:tc>
          <w:tcPr>
            <w:tcW w:type="dxa" w:w="2081"/>
          </w:tcPr>
          <w:p>
            <w:pPr>
              <w:jc w:val="left"/>
            </w:pPr>
            <w:r/>
            <w:r>
              <w:rPr>
                <w:rFonts w:ascii="Arial" w:hAnsi="Arial" w:eastAsia="Arial"/>
                <w:b w:val="0"/>
                <w:i w:val="0"/>
                <w:color w:val="000000"/>
                <w:sz w:val="20"/>
              </w:rPr>
              <w:t>Ймовірність = calibrated likelihood у межах 0-1</w:t>
            </w:r>
          </w:p>
        </w:tc>
        <w:tc>
          <w:tcPr>
            <w:tcW w:type="dxa" w:w="2081"/>
          </w:tcPr>
          <w:p>
            <w:pPr>
              <w:jc w:val="left"/>
            </w:pPr>
            <w:r/>
            <w:r>
              <w:rPr>
                <w:rFonts w:ascii="Arial" w:hAnsi="Arial" w:eastAsia="Arial"/>
                <w:b w:val="0"/>
                <w:i w:val="0"/>
                <w:color w:val="000000"/>
                <w:sz w:val="20"/>
              </w:rPr>
              <w:t>Калібрується за доказовими сигналами 2020-2025 і сценарною логікою.</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E2-FRM03</w:t>
            </w:r>
          </w:p>
        </w:tc>
        <w:tc>
          <w:tcPr>
            <w:tcW w:type="dxa" w:w="2081"/>
          </w:tcPr>
          <w:p>
            <w:pPr>
              <w:jc w:val="left"/>
            </w:pPr>
            <w:r/>
            <w:r>
              <w:rPr>
                <w:rFonts w:ascii="Arial" w:hAnsi="Arial" w:eastAsia="Arial"/>
                <w:b w:val="0"/>
                <w:i w:val="0"/>
                <w:color w:val="000000"/>
                <w:sz w:val="20"/>
              </w:rPr>
              <w:t>Вплив</w:t>
            </w:r>
          </w:p>
        </w:tc>
        <w:tc>
          <w:tcPr>
            <w:tcW w:type="dxa" w:w="2081"/>
          </w:tcPr>
          <w:p>
            <w:pPr>
              <w:jc w:val="left"/>
            </w:pPr>
            <w:r/>
            <w:r>
              <w:rPr>
                <w:rFonts w:ascii="Arial" w:hAnsi="Arial" w:eastAsia="Arial"/>
                <w:b w:val="0"/>
                <w:i w:val="0"/>
                <w:color w:val="000000"/>
                <w:sz w:val="20"/>
              </w:rPr>
              <w:t>Вплив = прямий ефект на output, CAPEX, експорт, бюджет або зайнятість у шкалі 1-5</w:t>
            </w:r>
          </w:p>
        </w:tc>
        <w:tc>
          <w:tcPr>
            <w:tcW w:type="dxa" w:w="2081"/>
          </w:tcPr>
          <w:p>
            <w:pPr>
              <w:jc w:val="left"/>
            </w:pPr>
            <w:r/>
            <w:r>
              <w:rPr>
                <w:rFonts w:ascii="Arial" w:hAnsi="Arial" w:eastAsia="Arial"/>
                <w:b w:val="0"/>
                <w:i w:val="0"/>
                <w:color w:val="000000"/>
                <w:sz w:val="20"/>
              </w:rPr>
              <w:t>Високий impact без cascade може лишатися секторним ризиком.</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E2-FRM04</w:t>
            </w:r>
          </w:p>
        </w:tc>
        <w:tc>
          <w:tcPr>
            <w:tcW w:type="dxa" w:w="2081"/>
          </w:tcPr>
          <w:p>
            <w:pPr>
              <w:jc w:val="left"/>
            </w:pPr>
            <w:r/>
            <w:r>
              <w:rPr>
                <w:rFonts w:ascii="Arial" w:hAnsi="Arial" w:eastAsia="Arial"/>
                <w:b w:val="0"/>
                <w:i w:val="0"/>
                <w:color w:val="000000"/>
                <w:sz w:val="20"/>
              </w:rPr>
              <w:t>Каскадність</w:t>
            </w:r>
          </w:p>
        </w:tc>
        <w:tc>
          <w:tcPr>
            <w:tcW w:type="dxa" w:w="2081"/>
          </w:tcPr>
          <w:p>
            <w:pPr>
              <w:jc w:val="left"/>
            </w:pPr>
            <w:r/>
            <w:r>
              <w:rPr>
                <w:rFonts w:ascii="Arial" w:hAnsi="Arial" w:eastAsia="Arial"/>
                <w:b w:val="0"/>
                <w:i w:val="0"/>
                <w:color w:val="000000"/>
                <w:sz w:val="20"/>
              </w:rPr>
              <w:t>Каскадність = здатність перейти у другий і третій контур у шкалі 1-5</w:t>
            </w:r>
          </w:p>
        </w:tc>
        <w:tc>
          <w:tcPr>
            <w:tcW w:type="dxa" w:w="2081"/>
          </w:tcPr>
          <w:p>
            <w:pPr>
              <w:jc w:val="left"/>
            </w:pPr>
            <w:r/>
            <w:r>
              <w:rPr>
                <w:rFonts w:ascii="Arial" w:hAnsi="Arial" w:eastAsia="Arial"/>
                <w:b w:val="0"/>
                <w:i w:val="0"/>
                <w:color w:val="000000"/>
                <w:sz w:val="20"/>
              </w:rPr>
              <w:t>Каскад охоплює сектори, бюджет, зовнішній баланс, регіони та громади.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E2-FRM05</w:t>
            </w:r>
          </w:p>
        </w:tc>
        <w:tc>
          <w:tcPr>
            <w:tcW w:type="dxa" w:w="2081"/>
          </w:tcPr>
          <w:p>
            <w:pPr>
              <w:jc w:val="left"/>
            </w:pPr>
            <w:r/>
            <w:r>
              <w:rPr>
                <w:rFonts w:ascii="Arial" w:hAnsi="Arial" w:eastAsia="Arial"/>
                <w:b w:val="0"/>
                <w:i w:val="0"/>
                <w:color w:val="000000"/>
                <w:sz w:val="20"/>
              </w:rPr>
              <w:t>Експозиція</w:t>
            </w:r>
          </w:p>
        </w:tc>
        <w:tc>
          <w:tcPr>
            <w:tcW w:type="dxa" w:w="2081"/>
          </w:tcPr>
          <w:p>
            <w:pPr>
              <w:jc w:val="left"/>
            </w:pPr>
            <w:r/>
            <w:r>
              <w:rPr>
                <w:rFonts w:ascii="Arial" w:hAnsi="Arial" w:eastAsia="Arial"/>
                <w:b w:val="0"/>
                <w:i w:val="0"/>
                <w:color w:val="000000"/>
                <w:sz w:val="20"/>
              </w:rPr>
              <w:t>Експозиція = відкритість системи до ризику у шкалі 1-5</w:t>
            </w:r>
          </w:p>
        </w:tc>
        <w:tc>
          <w:tcPr>
            <w:tcW w:type="dxa" w:w="2081"/>
          </w:tcPr>
          <w:p>
            <w:pPr>
              <w:jc w:val="left"/>
            </w:pPr>
            <w:r/>
            <w:r>
              <w:rPr>
                <w:rFonts w:ascii="Arial" w:hAnsi="Arial" w:eastAsia="Arial"/>
                <w:b w:val="0"/>
                <w:i w:val="0"/>
                <w:color w:val="000000"/>
                <w:sz w:val="20"/>
              </w:rPr>
              <w:t>Висока експозиція означає, що багато розділів або параметрів залежать від одного каналу.</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E2-FRM06</w:t>
            </w:r>
          </w:p>
        </w:tc>
        <w:tc>
          <w:tcPr>
            <w:tcW w:type="dxa" w:w="2081"/>
          </w:tcPr>
          <w:p>
            <w:pPr>
              <w:jc w:val="left"/>
            </w:pPr>
            <w:r/>
            <w:r>
              <w:rPr>
                <w:rFonts w:ascii="Arial" w:hAnsi="Arial" w:eastAsia="Arial"/>
                <w:b w:val="0"/>
                <w:i w:val="0"/>
                <w:color w:val="000000"/>
                <w:sz w:val="20"/>
              </w:rPr>
              <w:t>Розрив готовності</w:t>
            </w:r>
          </w:p>
        </w:tc>
        <w:tc>
          <w:tcPr>
            <w:tcW w:type="dxa" w:w="2081"/>
          </w:tcPr>
          <w:p>
            <w:pPr>
              <w:jc w:val="left"/>
            </w:pPr>
            <w:r/>
            <w:r>
              <w:rPr>
                <w:rFonts w:ascii="Arial" w:hAnsi="Arial" w:eastAsia="Arial"/>
                <w:b w:val="0"/>
                <w:i w:val="0"/>
                <w:color w:val="000000"/>
                <w:sz w:val="20"/>
              </w:rPr>
              <w:t>Розрив готовності = 1 − preparedness</w:t>
            </w:r>
          </w:p>
        </w:tc>
        <w:tc>
          <w:tcPr>
            <w:tcW w:type="dxa" w:w="2081"/>
          </w:tcPr>
          <w:p>
            <w:pPr>
              <w:jc w:val="left"/>
            </w:pPr>
            <w:r/>
            <w:r>
              <w:rPr>
                <w:rFonts w:ascii="Arial" w:hAnsi="Arial" w:eastAsia="Arial"/>
                <w:b w:val="0"/>
                <w:i w:val="0"/>
                <w:color w:val="000000"/>
                <w:sz w:val="20"/>
              </w:rPr>
              <w:t>Чим слабші запобіжники, тим більша відкрита частина ризику.</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E2-FRM07</w:t>
            </w:r>
          </w:p>
        </w:tc>
        <w:tc>
          <w:tcPr>
            <w:tcW w:type="dxa" w:w="2081"/>
          </w:tcPr>
          <w:p>
            <w:pPr>
              <w:jc w:val="left"/>
            </w:pPr>
            <w:r/>
            <w:r>
              <w:rPr>
                <w:rFonts w:ascii="Arial" w:hAnsi="Arial" w:eastAsia="Arial"/>
                <w:b w:val="0"/>
                <w:i w:val="0"/>
                <w:color w:val="000000"/>
                <w:sz w:val="20"/>
              </w:rPr>
              <w:t>Сценарна оцінка ризику</w:t>
            </w:r>
          </w:p>
        </w:tc>
        <w:tc>
          <w:tcPr>
            <w:tcW w:type="dxa" w:w="2081"/>
          </w:tcPr>
          <w:p>
            <w:pPr>
              <w:jc w:val="left"/>
            </w:pPr>
            <w:r/>
            <w:r>
              <w:rPr>
                <w:rFonts w:ascii="Arial" w:hAnsi="Arial" w:eastAsia="Arial"/>
                <w:b w:val="0"/>
                <w:i w:val="0"/>
                <w:color w:val="000000"/>
                <w:sz w:val="20"/>
              </w:rPr>
              <w:t>Оцінка сценарію r,s = формула E2-FRM01 для ризику r у сценарії s</w:t>
            </w:r>
          </w:p>
        </w:tc>
        <w:tc>
          <w:tcPr>
            <w:tcW w:type="dxa" w:w="2081"/>
          </w:tcPr>
          <w:p>
            <w:pPr>
              <w:jc w:val="left"/>
            </w:pPr>
            <w:r/>
            <w:r>
              <w:rPr>
                <w:rFonts w:ascii="Arial" w:hAnsi="Arial" w:eastAsia="Arial"/>
                <w:b w:val="0"/>
                <w:i w:val="0"/>
                <w:color w:val="000000"/>
                <w:sz w:val="20"/>
              </w:rPr>
              <w:t>Дозволяє порівнювати шокову, інерційну і трансформаційну траєкторії.</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E2-FRM08</w:t>
            </w:r>
          </w:p>
        </w:tc>
        <w:tc>
          <w:tcPr>
            <w:tcW w:type="dxa" w:w="2081"/>
          </w:tcPr>
          <w:p>
            <w:pPr>
              <w:jc w:val="left"/>
            </w:pPr>
            <w:r/>
            <w:r>
              <w:rPr>
                <w:rFonts w:ascii="Arial" w:hAnsi="Arial" w:eastAsia="Arial"/>
                <w:b w:val="0"/>
                <w:i w:val="0"/>
                <w:color w:val="000000"/>
                <w:sz w:val="20"/>
              </w:rPr>
              <w:t>Агрегована оцінка ризику сценарію</w:t>
            </w:r>
          </w:p>
        </w:tc>
        <w:tc>
          <w:tcPr>
            <w:tcW w:type="dxa" w:w="2081"/>
          </w:tcPr>
          <w:p>
            <w:pPr>
              <w:jc w:val="left"/>
            </w:pPr>
            <w:r/>
            <w:r>
              <w:rPr>
                <w:rFonts w:ascii="Arial" w:hAnsi="Arial" w:eastAsia="Arial"/>
                <w:b w:val="0"/>
                <w:i w:val="0"/>
                <w:color w:val="000000"/>
                <w:sz w:val="20"/>
              </w:rPr>
              <w:t>Агрегований ризик сценарію = Σ(оцінка ризику r × вага r)</w:t>
            </w:r>
          </w:p>
        </w:tc>
        <w:tc>
          <w:tcPr>
            <w:tcW w:type="dxa" w:w="2081"/>
          </w:tcPr>
          <w:p>
            <w:pPr>
              <w:jc w:val="left"/>
            </w:pPr>
            <w:r/>
            <w:r>
              <w:rPr>
                <w:rFonts w:ascii="Arial" w:hAnsi="Arial" w:eastAsia="Arial"/>
                <w:b w:val="0"/>
                <w:i w:val="0"/>
                <w:color w:val="000000"/>
                <w:sz w:val="20"/>
              </w:rPr>
              <w:t>Вага показує роль каналу у сценарній системі, а не політичну важливість теми.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E2-FRM09</w:t>
            </w:r>
          </w:p>
        </w:tc>
        <w:tc>
          <w:tcPr>
            <w:tcW w:type="dxa" w:w="2081"/>
          </w:tcPr>
          <w:p>
            <w:pPr>
              <w:jc w:val="left"/>
            </w:pPr>
            <w:r/>
            <w:r>
              <w:rPr>
                <w:rFonts w:ascii="Arial" w:hAnsi="Arial" w:eastAsia="Arial"/>
                <w:b w:val="0"/>
                <w:i w:val="0"/>
                <w:color w:val="000000"/>
                <w:sz w:val="20"/>
              </w:rPr>
              <w:t>Оцінка країни з поправкою на ризик</w:t>
            </w:r>
          </w:p>
        </w:tc>
        <w:tc>
          <w:tcPr>
            <w:tcW w:type="dxa" w:w="2081"/>
          </w:tcPr>
          <w:p>
            <w:pPr>
              <w:jc w:val="left"/>
            </w:pPr>
            <w:r/>
            <w:r>
              <w:rPr>
                <w:rFonts w:ascii="Arial" w:hAnsi="Arial" w:eastAsia="Arial"/>
                <w:b w:val="0"/>
                <w:i w:val="0"/>
                <w:color w:val="000000"/>
                <w:sz w:val="20"/>
              </w:rPr>
              <w:t>Risk-adjusted score = базова оцінка країни − агрегований ризик × penalty factor</w:t>
            </w:r>
          </w:p>
        </w:tc>
        <w:tc>
          <w:tcPr>
            <w:tcW w:type="dxa" w:w="2081"/>
          </w:tcPr>
          <w:p>
            <w:pPr>
              <w:jc w:val="left"/>
            </w:pPr>
            <w:r/>
            <w:r>
              <w:rPr>
                <w:rFonts w:ascii="Arial" w:hAnsi="Arial" w:eastAsia="Arial"/>
                <w:b w:val="0"/>
                <w:i w:val="0"/>
                <w:color w:val="000000"/>
                <w:sz w:val="20"/>
              </w:rPr>
              <w:t>Показує, як ризик зменшує сценарну корисність без запобіжників.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E2-FRM10</w:t>
            </w:r>
          </w:p>
        </w:tc>
        <w:tc>
          <w:tcPr>
            <w:tcW w:type="dxa" w:w="2081"/>
          </w:tcPr>
          <w:p>
            <w:pPr>
              <w:jc w:val="left"/>
            </w:pPr>
            <w:r/>
            <w:r>
              <w:rPr>
                <w:rFonts w:ascii="Arial" w:hAnsi="Arial" w:eastAsia="Arial"/>
                <w:b w:val="0"/>
                <w:i w:val="0"/>
                <w:color w:val="000000"/>
                <w:sz w:val="20"/>
              </w:rPr>
              <w:t>Поріг критичного ризику</w:t>
            </w:r>
          </w:p>
        </w:tc>
        <w:tc>
          <w:tcPr>
            <w:tcW w:type="dxa" w:w="2081"/>
          </w:tcPr>
          <w:p>
            <w:pPr>
              <w:jc w:val="left"/>
            </w:pPr>
            <w:r/>
            <w:r>
              <w:rPr>
                <w:rFonts w:ascii="Arial" w:hAnsi="Arial" w:eastAsia="Arial"/>
                <w:b w:val="0"/>
                <w:i w:val="0"/>
                <w:color w:val="000000"/>
                <w:sz w:val="20"/>
              </w:rPr>
              <w:t>Критичний ризик = score ≥ 30 або impact ≥ 5 і cascade ≥ 5 за істотного preparedness gap</w:t>
            </w:r>
          </w:p>
        </w:tc>
        <w:tc>
          <w:tcPr>
            <w:tcW w:type="dxa" w:w="2081"/>
          </w:tcPr>
          <w:p>
            <w:pPr>
              <w:jc w:val="left"/>
            </w:pPr>
            <w:r/>
            <w:r>
              <w:rPr>
                <w:rFonts w:ascii="Arial" w:hAnsi="Arial" w:eastAsia="Arial"/>
                <w:b w:val="0"/>
                <w:i w:val="0"/>
                <w:color w:val="000000"/>
                <w:sz w:val="20"/>
              </w:rPr>
              <w:t>Поріг поєднує числову оцінку та стратегічну каскадність.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E2-FRM11</w:t>
            </w:r>
          </w:p>
        </w:tc>
        <w:tc>
          <w:tcPr>
            <w:tcW w:type="dxa" w:w="2081"/>
          </w:tcPr>
          <w:p>
            <w:pPr>
              <w:jc w:val="left"/>
            </w:pPr>
            <w:r/>
            <w:r>
              <w:rPr>
                <w:rFonts w:ascii="Arial" w:hAnsi="Arial" w:eastAsia="Arial"/>
                <w:b w:val="0"/>
                <w:i w:val="0"/>
                <w:color w:val="000000"/>
                <w:sz w:val="20"/>
              </w:rPr>
              <w:t>Ефект запобіжника</w:t>
            </w:r>
          </w:p>
        </w:tc>
        <w:tc>
          <w:tcPr>
            <w:tcW w:type="dxa" w:w="2081"/>
          </w:tcPr>
          <w:p>
            <w:pPr>
              <w:jc w:val="left"/>
            </w:pPr>
            <w:r/>
            <w:r>
              <w:rPr>
                <w:rFonts w:ascii="Arial" w:hAnsi="Arial" w:eastAsia="Arial"/>
                <w:b w:val="0"/>
                <w:i w:val="0"/>
                <w:color w:val="000000"/>
                <w:sz w:val="20"/>
              </w:rPr>
              <w:t>Нова оцінка = та сама формула з вищою preparedness</w:t>
            </w:r>
          </w:p>
        </w:tc>
        <w:tc>
          <w:tcPr>
            <w:tcW w:type="dxa" w:w="2081"/>
          </w:tcPr>
          <w:p>
            <w:pPr>
              <w:jc w:val="left"/>
            </w:pPr>
            <w:r/>
            <w:r>
              <w:rPr>
                <w:rFonts w:ascii="Arial" w:hAnsi="Arial" w:eastAsia="Arial"/>
                <w:b w:val="0"/>
                <w:i w:val="0"/>
                <w:color w:val="000000"/>
                <w:sz w:val="20"/>
              </w:rPr>
              <w:t>Запобіжник знижує ризик не риторикою, а скороченням відкритого gap.</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E2-FRM12</w:t>
            </w:r>
          </w:p>
        </w:tc>
        <w:tc>
          <w:tcPr>
            <w:tcW w:type="dxa" w:w="2081"/>
          </w:tcPr>
          <w:p>
            <w:pPr>
              <w:jc w:val="left"/>
            </w:pPr>
            <w:r/>
            <w:r>
              <w:rPr>
                <w:rFonts w:ascii="Arial" w:hAnsi="Arial" w:eastAsia="Arial"/>
                <w:b w:val="0"/>
                <w:i w:val="0"/>
                <w:color w:val="000000"/>
                <w:sz w:val="20"/>
              </w:rPr>
              <w:t>Довіра до оцінки</w:t>
            </w:r>
          </w:p>
        </w:tc>
        <w:tc>
          <w:tcPr>
            <w:tcW w:type="dxa" w:w="2081"/>
          </w:tcPr>
          <w:p>
            <w:pPr>
              <w:jc w:val="left"/>
            </w:pPr>
            <w:r/>
            <w:r>
              <w:rPr>
                <w:rFonts w:ascii="Arial" w:hAnsi="Arial" w:eastAsia="Arial"/>
                <w:b w:val="0"/>
                <w:i w:val="0"/>
                <w:color w:val="000000"/>
                <w:sz w:val="20"/>
              </w:rPr>
              <w:t>Score confidence = середня якість джерела, ясність proxy, повнота caveat і трасованість формули</w:t>
            </w:r>
          </w:p>
        </w:tc>
        <w:tc>
          <w:tcPr>
            <w:tcW w:type="dxa" w:w="2081"/>
          </w:tcPr>
          <w:p>
            <w:pPr>
              <w:jc w:val="left"/>
            </w:pPr>
            <w:r/>
            <w:r>
              <w:rPr>
                <w:rFonts w:ascii="Arial" w:hAnsi="Arial" w:eastAsia="Arial"/>
                <w:b w:val="0"/>
                <w:i w:val="0"/>
                <w:color w:val="000000"/>
                <w:sz w:val="20"/>
              </w:rPr>
              <w:t>Низька довіра не завжди знижує ризик; вона знижує придатність score для публічного рішення.</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Матриця ймовірності та впливу з джерельною дисципліною</w:t>
      </w:r>
    </w:p>
    <w:p>
      <w:pPr>
        <w:jc w:val="both"/>
      </w:pPr>
      <w:r>
        <w:rPr>
          <w:rFonts w:ascii="Arial" w:hAnsi="Arial" w:eastAsia="Arial"/>
          <w:b w:val="0"/>
          <w:i w:val="0"/>
          <w:color w:val="000000"/>
          <w:sz w:val="24"/>
        </w:rPr>
        <w:t>Матриця ймовірності та впливу є першим фільтром, але не фінальним ранжуванням. [13] Вона показує, які ризики одночасно мають високу ймовірність і високий прямий вплив. Потім E2 додає cascade, exposure і preparedness gap, тому критичний ризик може бути нижчим за ймовірністю, але вищим за системним наслідком. Така логіка відповідає практиці risk appetite і decision thresholds, але в українському контексті доповнюється source/caveat дисципліною: без джерела, caveat і формули score не використовується для фінального висновку.</w:t>
      </w:r>
    </w:p>
    <w:tbl>
      <w:tblPr>
        <w:tblStyle w:val="TableGrid"/>
        <w:tblW w:type="auto" w:w="0"/>
        <w:jc w:val="left"/>
        <w:tblLayout w:type="fixed"/>
        <w:tblLook w:firstColumn="1" w:firstRow="1" w:lastColumn="0" w:lastRow="0" w:noHBand="0" w:noVBand="1" w:val="04A0"/>
      </w:tblPr>
      <w:tblGrid>
        <w:gridCol w:w="750"/>
        <w:gridCol w:w="750"/>
        <w:gridCol w:w="750"/>
        <w:gridCol w:w="750"/>
        <w:gridCol w:w="750"/>
        <w:gridCol w:w="750"/>
        <w:gridCol w:w="750"/>
        <w:gridCol w:w="750"/>
        <w:gridCol w:w="750"/>
        <w:gridCol w:w="750"/>
        <w:gridCol w:w="750"/>
        <w:gridCol w:w="750"/>
        <w:gridCol w:w="750"/>
      </w:tblGrid>
      <w:tr>
        <w:tc>
          <w:tcPr>
            <w:tcW w:type="dxa" w:w="2041"/>
          </w:tcPr>
          <w:p>
            <w:pPr>
              <w:jc w:val="left"/>
            </w:pPr>
            <w:r/>
            <w:r>
              <w:rPr>
                <w:rFonts w:ascii="Arial" w:hAnsi="Arial" w:eastAsia="Arial"/>
                <w:b/>
                <w:i w:val="0"/>
                <w:color w:val="000000"/>
                <w:sz w:val="20"/>
              </w:rPr>
              <w:t>ID</w:t>
            </w:r>
          </w:p>
        </w:tc>
        <w:tc>
          <w:tcPr>
            <w:tcW w:type="dxa" w:w="1247"/>
          </w:tcPr>
          <w:p>
            <w:pPr>
              <w:jc w:val="left"/>
            </w:pPr>
            <w:r/>
            <w:r>
              <w:rPr>
                <w:rFonts w:ascii="Arial" w:hAnsi="Arial" w:eastAsia="Arial"/>
                <w:b/>
                <w:i w:val="0"/>
                <w:color w:val="000000"/>
                <w:sz w:val="20"/>
              </w:rPr>
              <w:t>Ризик</w:t>
            </w:r>
          </w:p>
        </w:tc>
        <w:tc>
          <w:tcPr>
            <w:tcW w:type="dxa" w:w="1247"/>
          </w:tcPr>
          <w:p>
            <w:pPr>
              <w:jc w:val="left"/>
            </w:pPr>
            <w:r/>
            <w:r>
              <w:rPr>
                <w:rFonts w:ascii="Arial" w:hAnsi="Arial" w:eastAsia="Arial"/>
                <w:b/>
                <w:i w:val="0"/>
                <w:color w:val="000000"/>
                <w:sz w:val="20"/>
              </w:rPr>
              <w:t>Сім’я</w:t>
            </w:r>
          </w:p>
        </w:tc>
        <w:tc>
          <w:tcPr>
            <w:tcW w:type="dxa" w:w="1247"/>
          </w:tcPr>
          <w:p>
            <w:pPr>
              <w:jc w:val="left"/>
            </w:pPr>
            <w:r/>
            <w:r>
              <w:rPr>
                <w:rFonts w:ascii="Arial" w:hAnsi="Arial" w:eastAsia="Arial"/>
                <w:b/>
                <w:i w:val="0"/>
                <w:color w:val="000000"/>
                <w:sz w:val="20"/>
              </w:rPr>
              <w:t>Тригер</w:t>
            </w:r>
          </w:p>
        </w:tc>
        <w:tc>
          <w:tcPr>
            <w:tcW w:type="dxa" w:w="1247"/>
          </w:tcPr>
          <w:p>
            <w:pPr>
              <w:jc w:val="left"/>
            </w:pPr>
            <w:r/>
            <w:r>
              <w:rPr>
                <w:rFonts w:ascii="Arial" w:hAnsi="Arial" w:eastAsia="Arial"/>
                <w:b/>
                <w:i w:val="0"/>
                <w:color w:val="000000"/>
                <w:sz w:val="20"/>
              </w:rPr>
              <w:t>Ймовірність шок</w:t>
            </w:r>
          </w:p>
        </w:tc>
        <w:tc>
          <w:tcPr>
            <w:tcW w:type="dxa" w:w="1247"/>
          </w:tcPr>
          <w:p>
            <w:pPr>
              <w:jc w:val="left"/>
            </w:pPr>
            <w:r/>
            <w:r>
              <w:rPr>
                <w:rFonts w:ascii="Arial" w:hAnsi="Arial" w:eastAsia="Arial"/>
                <w:b/>
                <w:i w:val="0"/>
                <w:color w:val="000000"/>
                <w:sz w:val="20"/>
              </w:rPr>
              <w:t>Вплив</w:t>
            </w:r>
          </w:p>
        </w:tc>
        <w:tc>
          <w:tcPr>
            <w:tcW w:type="dxa" w:w="1247"/>
          </w:tcPr>
          <w:p>
            <w:pPr>
              <w:jc w:val="left"/>
            </w:pPr>
            <w:r/>
            <w:r>
              <w:rPr>
                <w:rFonts w:ascii="Arial" w:hAnsi="Arial" w:eastAsia="Arial"/>
                <w:b/>
                <w:i w:val="0"/>
                <w:color w:val="000000"/>
                <w:sz w:val="20"/>
              </w:rPr>
              <w:t>Каскад</w:t>
            </w:r>
          </w:p>
        </w:tc>
        <w:tc>
          <w:tcPr>
            <w:tcW w:type="dxa" w:w="1247"/>
          </w:tcPr>
          <w:p>
            <w:pPr>
              <w:jc w:val="left"/>
            </w:pPr>
            <w:r/>
            <w:r>
              <w:rPr>
                <w:rFonts w:ascii="Arial" w:hAnsi="Arial" w:eastAsia="Arial"/>
                <w:b/>
                <w:i w:val="0"/>
                <w:color w:val="000000"/>
                <w:sz w:val="20"/>
              </w:rPr>
              <w:t>Експозиція</w:t>
            </w:r>
          </w:p>
        </w:tc>
        <w:tc>
          <w:tcPr>
            <w:tcW w:type="dxa" w:w="1247"/>
          </w:tcPr>
          <w:p>
            <w:pPr>
              <w:jc w:val="left"/>
            </w:pPr>
            <w:r/>
            <w:r>
              <w:rPr>
                <w:rFonts w:ascii="Arial" w:hAnsi="Arial" w:eastAsia="Arial"/>
                <w:b/>
                <w:i w:val="0"/>
                <w:color w:val="000000"/>
                <w:sz w:val="20"/>
              </w:rPr>
              <w:t>Розрив готовності</w:t>
            </w:r>
          </w:p>
        </w:tc>
        <w:tc>
          <w:tcPr>
            <w:tcW w:type="dxa" w:w="1247"/>
          </w:tcPr>
          <w:p>
            <w:pPr>
              <w:jc w:val="left"/>
            </w:pPr>
            <w:r/>
            <w:r>
              <w:rPr>
                <w:rFonts w:ascii="Arial" w:hAnsi="Arial" w:eastAsia="Arial"/>
                <w:b/>
                <w:i w:val="0"/>
                <w:color w:val="000000"/>
                <w:sz w:val="20"/>
              </w:rPr>
              <w:t>Оцінка шок</w:t>
            </w:r>
          </w:p>
        </w:tc>
        <w:tc>
          <w:tcPr>
            <w:tcW w:type="dxa" w:w="1247"/>
          </w:tcPr>
          <w:p>
            <w:pPr>
              <w:jc w:val="left"/>
            </w:pPr>
            <w:r/>
            <w:r>
              <w:rPr>
                <w:rFonts w:ascii="Arial" w:hAnsi="Arial" w:eastAsia="Arial"/>
                <w:b/>
                <w:i w:val="0"/>
                <w:color w:val="000000"/>
                <w:sz w:val="20"/>
              </w:rPr>
              <w:t>Джерела</w:t>
            </w:r>
          </w:p>
        </w:tc>
        <w:tc>
          <w:tcPr>
            <w:tcW w:type="dxa" w:w="1247"/>
          </w:tcPr>
          <w:p>
            <w:pPr>
              <w:jc w:val="left"/>
            </w:pPr>
            <w:r/>
            <w:r>
              <w:rPr>
                <w:rFonts w:ascii="Arial" w:hAnsi="Arial" w:eastAsia="Arial"/>
                <w:b/>
                <w:i w:val="0"/>
                <w:color w:val="000000"/>
                <w:sz w:val="20"/>
              </w:rPr>
              <w:t>Стан</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R01</w:t>
            </w:r>
          </w:p>
        </w:tc>
        <w:tc>
          <w:tcPr>
            <w:tcW w:type="dxa" w:w="1247"/>
          </w:tcPr>
          <w:p>
            <w:pPr>
              <w:jc w:val="left"/>
            </w:pPr>
            <w:r/>
            <w:r>
              <w:rPr>
                <w:rFonts w:ascii="Arial" w:hAnsi="Arial" w:eastAsia="Arial"/>
                <w:b w:val="0"/>
                <w:i w:val="0"/>
                <w:color w:val="000000"/>
                <w:sz w:val="20"/>
              </w:rPr>
              <w:t>Безпекова ескалація</w:t>
            </w:r>
          </w:p>
        </w:tc>
        <w:tc>
          <w:tcPr>
            <w:tcW w:type="dxa" w:w="1247"/>
          </w:tcPr>
          <w:p>
            <w:pPr>
              <w:jc w:val="left"/>
            </w:pPr>
            <w:r/>
            <w:r>
              <w:rPr>
                <w:rFonts w:ascii="Arial" w:hAnsi="Arial" w:eastAsia="Arial"/>
                <w:b w:val="0"/>
                <w:i w:val="0"/>
                <w:color w:val="000000"/>
                <w:sz w:val="20"/>
              </w:rPr>
              <w:t>безпекова</w:t>
            </w:r>
          </w:p>
        </w:tc>
        <w:tc>
          <w:tcPr>
            <w:tcW w:type="dxa" w:w="1247"/>
          </w:tcPr>
          <w:p>
            <w:pPr>
              <w:jc w:val="left"/>
            </w:pPr>
            <w:r/>
            <w:r>
              <w:rPr>
                <w:rFonts w:ascii="Arial" w:hAnsi="Arial" w:eastAsia="Arial"/>
                <w:b w:val="0"/>
                <w:i w:val="0"/>
                <w:color w:val="000000"/>
                <w:sz w:val="20"/>
              </w:rPr>
              <w:t>сталі атаки, страхові збитки, попередження про безпекову ескалацію</w:t>
            </w:r>
          </w:p>
        </w:tc>
        <w:tc>
          <w:tcPr>
            <w:tcW w:type="dxa" w:w="1247"/>
          </w:tcPr>
          <w:p>
            <w:pPr>
              <w:jc w:val="left"/>
            </w:pPr>
            <w:r/>
            <w:r>
              <w:rPr>
                <w:rFonts w:ascii="Arial" w:hAnsi="Arial" w:eastAsia="Arial"/>
                <w:b w:val="0"/>
                <w:i w:val="0"/>
                <w:color w:val="000000"/>
                <w:sz w:val="20"/>
              </w:rPr>
              <w:t>0.7</w:t>
            </w:r>
          </w:p>
        </w:tc>
        <w:tc>
          <w:tcPr>
            <w:tcW w:type="dxa" w:w="1247"/>
          </w:tcPr>
          <w:p>
            <w:pPr>
              <w:jc w:val="left"/>
            </w:pPr>
            <w:r/>
            <w:r>
              <w:rPr>
                <w:rFonts w:ascii="Arial" w:hAnsi="Arial" w:eastAsia="Arial"/>
                <w:b w:val="0"/>
                <w:i w:val="0"/>
                <w:color w:val="000000"/>
                <w:sz w:val="20"/>
              </w:rPr>
              <w:t>5</w:t>
            </w:r>
          </w:p>
        </w:tc>
        <w:tc>
          <w:tcPr>
            <w:tcW w:type="dxa" w:w="1247"/>
          </w:tcPr>
          <w:p>
            <w:pPr>
              <w:jc w:val="left"/>
            </w:pPr>
            <w:r/>
            <w:r>
              <w:rPr>
                <w:rFonts w:ascii="Arial" w:hAnsi="Arial" w:eastAsia="Arial"/>
                <w:b w:val="0"/>
                <w:i w:val="0"/>
                <w:color w:val="000000"/>
                <w:sz w:val="20"/>
              </w:rPr>
              <w:t>5</w:t>
            </w:r>
          </w:p>
        </w:tc>
        <w:tc>
          <w:tcPr>
            <w:tcW w:type="dxa" w:w="1247"/>
          </w:tcPr>
          <w:p>
            <w:pPr>
              <w:jc w:val="left"/>
            </w:pPr>
            <w:r/>
            <w:r>
              <w:rPr>
                <w:rFonts w:ascii="Arial" w:hAnsi="Arial" w:eastAsia="Arial"/>
                <w:b w:val="0"/>
                <w:i w:val="0"/>
                <w:color w:val="000000"/>
                <w:sz w:val="20"/>
              </w:rPr>
              <w:t>5</w:t>
            </w:r>
          </w:p>
        </w:tc>
        <w:tc>
          <w:tcPr>
            <w:tcW w:type="dxa" w:w="1247"/>
          </w:tcPr>
          <w:p>
            <w:pPr>
              <w:jc w:val="left"/>
            </w:pPr>
            <w:r/>
            <w:r>
              <w:rPr>
                <w:rFonts w:ascii="Arial" w:hAnsi="Arial" w:eastAsia="Arial"/>
                <w:b w:val="0"/>
                <w:i w:val="0"/>
                <w:color w:val="000000"/>
                <w:sz w:val="20"/>
              </w:rPr>
              <w:t>0.75</w:t>
            </w:r>
          </w:p>
        </w:tc>
        <w:tc>
          <w:tcPr>
            <w:tcW w:type="dxa" w:w="1247"/>
          </w:tcPr>
          <w:p>
            <w:pPr>
              <w:jc w:val="left"/>
            </w:pPr>
            <w:r/>
            <w:r>
              <w:rPr>
                <w:rFonts w:ascii="Arial" w:hAnsi="Arial" w:eastAsia="Arial"/>
                <w:b w:val="0"/>
                <w:i w:val="0"/>
                <w:color w:val="000000"/>
                <w:sz w:val="20"/>
              </w:rPr>
              <w:t>52.5</w:t>
            </w:r>
          </w:p>
        </w:tc>
        <w:tc>
          <w:tcPr>
            <w:tcW w:type="dxa" w:w="1247"/>
          </w:tcPr>
          <w:p>
            <w:pPr>
              <w:jc w:val="left"/>
            </w:pPr>
            <w:r/>
            <w:r>
              <w:rPr>
                <w:rFonts w:ascii="Arial" w:hAnsi="Arial" w:eastAsia="Arial"/>
                <w:b w:val="0"/>
                <w:i w:val="0"/>
                <w:color w:val="000000"/>
                <w:sz w:val="20"/>
              </w:rPr>
              <w:t>[S383], [S390], [S391]</w:t>
            </w:r>
          </w:p>
        </w:tc>
        <w:tc>
          <w:tcPr>
            <w:tcW w:type="dxa" w:w="1247"/>
          </w:tcPr>
          <w:p>
            <w:pPr>
              <w:jc w:val="left"/>
            </w:pPr>
            <w:r/>
            <w:r>
              <w:rPr>
                <w:rFonts w:ascii="Arial" w:hAnsi="Arial" w:eastAsia="Arial"/>
                <w:b w:val="0"/>
                <w:i w:val="0"/>
                <w:color w:val="000000"/>
                <w:sz w:val="20"/>
              </w:rPr>
              <w:t>Критичний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R02</w:t>
            </w:r>
          </w:p>
        </w:tc>
        <w:tc>
          <w:tcPr>
            <w:tcW w:type="dxa" w:w="1247"/>
          </w:tcPr>
          <w:p>
            <w:pPr>
              <w:jc w:val="left"/>
            </w:pPr>
            <w:r/>
            <w:r>
              <w:rPr>
                <w:rFonts w:ascii="Arial" w:hAnsi="Arial" w:eastAsia="Arial"/>
                <w:b w:val="0"/>
                <w:i w:val="0"/>
                <w:color w:val="000000"/>
                <w:sz w:val="20"/>
              </w:rPr>
              <w:t>Енергетичний дефіцит</w:t>
            </w:r>
          </w:p>
        </w:tc>
        <w:tc>
          <w:tcPr>
            <w:tcW w:type="dxa" w:w="1247"/>
          </w:tcPr>
          <w:p>
            <w:pPr>
              <w:jc w:val="left"/>
            </w:pPr>
            <w:r/>
            <w:r>
              <w:rPr>
                <w:rFonts w:ascii="Arial" w:hAnsi="Arial" w:eastAsia="Arial"/>
                <w:b w:val="0"/>
                <w:i w:val="0"/>
                <w:color w:val="000000"/>
                <w:sz w:val="20"/>
              </w:rPr>
              <w:t>енергетична</w:t>
            </w:r>
          </w:p>
        </w:tc>
        <w:tc>
          <w:tcPr>
            <w:tcW w:type="dxa" w:w="1247"/>
          </w:tcPr>
          <w:p>
            <w:pPr>
              <w:jc w:val="left"/>
            </w:pPr>
            <w:r/>
            <w:r>
              <w:rPr>
                <w:rFonts w:ascii="Arial" w:hAnsi="Arial" w:eastAsia="Arial"/>
                <w:b w:val="0"/>
                <w:i w:val="0"/>
                <w:color w:val="000000"/>
                <w:sz w:val="20"/>
              </w:rPr>
              <w:t>пошкодження генерації або мереж; дефіцит потужності; стрибок промислової ціни; обмеження споживання</w:t>
            </w:r>
          </w:p>
        </w:tc>
        <w:tc>
          <w:tcPr>
            <w:tcW w:type="dxa" w:w="1247"/>
          </w:tcPr>
          <w:p>
            <w:pPr>
              <w:jc w:val="left"/>
            </w:pPr>
            <w:r/>
            <w:r>
              <w:rPr>
                <w:rFonts w:ascii="Arial" w:hAnsi="Arial" w:eastAsia="Arial"/>
                <w:b w:val="0"/>
                <w:i w:val="0"/>
                <w:color w:val="000000"/>
                <w:sz w:val="20"/>
              </w:rPr>
              <w:t>0.65</w:t>
            </w:r>
          </w:p>
        </w:tc>
        <w:tc>
          <w:tcPr>
            <w:tcW w:type="dxa" w:w="1247"/>
          </w:tcPr>
          <w:p>
            <w:pPr>
              <w:jc w:val="left"/>
            </w:pPr>
            <w:r/>
            <w:r>
              <w:rPr>
                <w:rFonts w:ascii="Arial" w:hAnsi="Arial" w:eastAsia="Arial"/>
                <w:b w:val="0"/>
                <w:i w:val="0"/>
                <w:color w:val="000000"/>
                <w:sz w:val="20"/>
              </w:rPr>
              <w:t>5</w:t>
            </w:r>
          </w:p>
        </w:tc>
        <w:tc>
          <w:tcPr>
            <w:tcW w:type="dxa" w:w="1247"/>
          </w:tcPr>
          <w:p>
            <w:pPr>
              <w:jc w:val="left"/>
            </w:pPr>
            <w:r/>
            <w:r>
              <w:rPr>
                <w:rFonts w:ascii="Arial" w:hAnsi="Arial" w:eastAsia="Arial"/>
                <w:b w:val="0"/>
                <w:i w:val="0"/>
                <w:color w:val="000000"/>
                <w:sz w:val="20"/>
              </w:rPr>
              <w:t>5</w:t>
            </w:r>
          </w:p>
        </w:tc>
        <w:tc>
          <w:tcPr>
            <w:tcW w:type="dxa" w:w="1247"/>
          </w:tcPr>
          <w:p>
            <w:pPr>
              <w:jc w:val="left"/>
            </w:pPr>
            <w:r/>
            <w:r>
              <w:rPr>
                <w:rFonts w:ascii="Arial" w:hAnsi="Arial" w:eastAsia="Arial"/>
                <w:b w:val="0"/>
                <w:i w:val="0"/>
                <w:color w:val="000000"/>
                <w:sz w:val="20"/>
              </w:rPr>
              <w:t>5</w:t>
            </w:r>
          </w:p>
        </w:tc>
        <w:tc>
          <w:tcPr>
            <w:tcW w:type="dxa" w:w="1247"/>
          </w:tcPr>
          <w:p>
            <w:pPr>
              <w:jc w:val="left"/>
            </w:pPr>
            <w:r/>
            <w:r>
              <w:rPr>
                <w:rFonts w:ascii="Arial" w:hAnsi="Arial" w:eastAsia="Arial"/>
                <w:b w:val="0"/>
                <w:i w:val="0"/>
                <w:color w:val="000000"/>
                <w:sz w:val="20"/>
              </w:rPr>
              <w:t>0.7</w:t>
            </w:r>
          </w:p>
        </w:tc>
        <w:tc>
          <w:tcPr>
            <w:tcW w:type="dxa" w:w="1247"/>
          </w:tcPr>
          <w:p>
            <w:pPr>
              <w:jc w:val="left"/>
            </w:pPr>
            <w:r/>
            <w:r>
              <w:rPr>
                <w:rFonts w:ascii="Arial" w:hAnsi="Arial" w:eastAsia="Arial"/>
                <w:b w:val="0"/>
                <w:i w:val="0"/>
                <w:color w:val="000000"/>
                <w:sz w:val="20"/>
              </w:rPr>
              <w:t>45.5</w:t>
            </w:r>
          </w:p>
        </w:tc>
        <w:tc>
          <w:tcPr>
            <w:tcW w:type="dxa" w:w="1247"/>
          </w:tcPr>
          <w:p>
            <w:pPr>
              <w:jc w:val="left"/>
            </w:pPr>
            <w:r/>
            <w:r>
              <w:rPr>
                <w:rFonts w:ascii="Arial" w:hAnsi="Arial" w:eastAsia="Arial"/>
                <w:b w:val="0"/>
                <w:i w:val="0"/>
                <w:color w:val="000000"/>
                <w:sz w:val="20"/>
              </w:rPr>
              <w:t>GMK Center; IEA; IEA</w:t>
            </w:r>
          </w:p>
        </w:tc>
        <w:tc>
          <w:tcPr>
            <w:tcW w:type="dxa" w:w="1247"/>
          </w:tcPr>
          <w:p>
            <w:pPr>
              <w:jc w:val="left"/>
            </w:pPr>
            <w:r/>
            <w:r>
              <w:rPr>
                <w:rFonts w:ascii="Arial" w:hAnsi="Arial" w:eastAsia="Arial"/>
                <w:b w:val="0"/>
                <w:i w:val="0"/>
                <w:color w:val="000000"/>
                <w:sz w:val="20"/>
              </w:rPr>
              <w:t>Критичний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R03</w:t>
            </w:r>
          </w:p>
        </w:tc>
        <w:tc>
          <w:tcPr>
            <w:tcW w:type="dxa" w:w="1247"/>
          </w:tcPr>
          <w:p>
            <w:pPr>
              <w:jc w:val="left"/>
            </w:pPr>
            <w:r/>
            <w:r>
              <w:rPr>
                <w:rFonts w:ascii="Arial" w:hAnsi="Arial" w:eastAsia="Arial"/>
                <w:b w:val="0"/>
                <w:i w:val="0"/>
                <w:color w:val="000000"/>
                <w:sz w:val="20"/>
              </w:rPr>
              <w:t>Затримка зовнішнього фінансування</w:t>
            </w:r>
          </w:p>
        </w:tc>
        <w:tc>
          <w:tcPr>
            <w:tcW w:type="dxa" w:w="1247"/>
          </w:tcPr>
          <w:p>
            <w:pPr>
              <w:jc w:val="left"/>
            </w:pPr>
            <w:r/>
            <w:r>
              <w:rPr>
                <w:rFonts w:ascii="Arial" w:hAnsi="Arial" w:eastAsia="Arial"/>
                <w:b w:val="0"/>
                <w:i w:val="0"/>
                <w:color w:val="000000"/>
                <w:sz w:val="20"/>
              </w:rPr>
              <w:t>макрофінансова</w:t>
            </w:r>
          </w:p>
        </w:tc>
        <w:tc>
          <w:tcPr>
            <w:tcW w:type="dxa" w:w="1247"/>
          </w:tcPr>
          <w:p>
            <w:pPr>
              <w:jc w:val="left"/>
            </w:pPr>
            <w:r/>
            <w:r>
              <w:rPr>
                <w:rFonts w:ascii="Arial" w:hAnsi="Arial" w:eastAsia="Arial"/>
                <w:b w:val="0"/>
                <w:i w:val="0"/>
                <w:color w:val="000000"/>
                <w:sz w:val="20"/>
              </w:rPr>
              <w:t>розрив між планом і надходженням допомоги; недоотримання траншів; напруга резервів або бюджету</w:t>
            </w:r>
          </w:p>
        </w:tc>
        <w:tc>
          <w:tcPr>
            <w:tcW w:type="dxa" w:w="1247"/>
          </w:tcPr>
          <w:p>
            <w:pPr>
              <w:jc w:val="left"/>
            </w:pPr>
            <w:r/>
            <w:r>
              <w:rPr>
                <w:rFonts w:ascii="Arial" w:hAnsi="Arial" w:eastAsia="Arial"/>
                <w:b w:val="0"/>
                <w:i w:val="0"/>
                <w:color w:val="000000"/>
                <w:sz w:val="20"/>
              </w:rPr>
              <w:t>0.55</w:t>
            </w:r>
          </w:p>
        </w:tc>
        <w:tc>
          <w:tcPr>
            <w:tcW w:type="dxa" w:w="1247"/>
          </w:tcPr>
          <w:p>
            <w:pPr>
              <w:jc w:val="left"/>
            </w:pPr>
            <w:r/>
            <w:r>
              <w:rPr>
                <w:rFonts w:ascii="Arial" w:hAnsi="Arial" w:eastAsia="Arial"/>
                <w:b w:val="0"/>
                <w:i w:val="0"/>
                <w:color w:val="000000"/>
                <w:sz w:val="20"/>
              </w:rPr>
              <w:t>5</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5</w:t>
            </w:r>
          </w:p>
        </w:tc>
        <w:tc>
          <w:tcPr>
            <w:tcW w:type="dxa" w:w="1247"/>
          </w:tcPr>
          <w:p>
            <w:pPr>
              <w:jc w:val="left"/>
            </w:pPr>
            <w:r/>
            <w:r>
              <w:rPr>
                <w:rFonts w:ascii="Arial" w:hAnsi="Arial" w:eastAsia="Arial"/>
                <w:b w:val="0"/>
                <w:i w:val="0"/>
                <w:color w:val="000000"/>
                <w:sz w:val="20"/>
              </w:rPr>
              <w:t>0.65</w:t>
            </w:r>
          </w:p>
        </w:tc>
        <w:tc>
          <w:tcPr>
            <w:tcW w:type="dxa" w:w="1247"/>
          </w:tcPr>
          <w:p>
            <w:pPr>
              <w:jc w:val="left"/>
            </w:pPr>
            <w:r/>
            <w:r>
              <w:rPr>
                <w:rFonts w:ascii="Arial" w:hAnsi="Arial" w:eastAsia="Arial"/>
                <w:b w:val="0"/>
                <w:i w:val="0"/>
                <w:color w:val="000000"/>
                <w:sz w:val="20"/>
              </w:rPr>
              <w:t>28.6</w:t>
            </w:r>
          </w:p>
        </w:tc>
        <w:tc>
          <w:tcPr>
            <w:tcW w:type="dxa" w:w="1247"/>
          </w:tcPr>
          <w:p>
            <w:pPr>
              <w:jc w:val="left"/>
            </w:pPr>
            <w:r/>
            <w:r>
              <w:rPr>
                <w:rFonts w:ascii="Arial" w:hAnsi="Arial" w:eastAsia="Arial"/>
                <w:b w:val="0"/>
                <w:i w:val="0"/>
                <w:color w:val="000000"/>
                <w:sz w:val="20"/>
              </w:rPr>
              <w:t>NBU</w:t>
            </w:r>
          </w:p>
        </w:tc>
        <w:tc>
          <w:tcPr>
            <w:tcW w:type="dxa" w:w="1247"/>
          </w:tcPr>
          <w:p>
            <w:pPr>
              <w:jc w:val="left"/>
            </w:pPr>
            <w:r/>
            <w:r>
              <w:rPr>
                <w:rFonts w:ascii="Arial" w:hAnsi="Arial" w:eastAsia="Arial"/>
                <w:b w:val="0"/>
                <w:i w:val="0"/>
                <w:color w:val="000000"/>
                <w:sz w:val="20"/>
              </w:rPr>
              <w:t>Підвищений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R04</w:t>
            </w:r>
          </w:p>
        </w:tc>
        <w:tc>
          <w:tcPr>
            <w:tcW w:type="dxa" w:w="1247"/>
          </w:tcPr>
          <w:p>
            <w:pPr>
              <w:jc w:val="left"/>
            </w:pPr>
            <w:r/>
            <w:r>
              <w:rPr>
                <w:rFonts w:ascii="Arial" w:hAnsi="Arial" w:eastAsia="Arial"/>
                <w:b w:val="0"/>
                <w:i w:val="0"/>
                <w:color w:val="000000"/>
                <w:sz w:val="20"/>
              </w:rPr>
              <w:t>Логістичний розрив</w:t>
            </w:r>
          </w:p>
        </w:tc>
        <w:tc>
          <w:tcPr>
            <w:tcW w:type="dxa" w:w="1247"/>
          </w:tcPr>
          <w:p>
            <w:pPr>
              <w:jc w:val="left"/>
            </w:pPr>
            <w:r/>
            <w:r>
              <w:rPr>
                <w:rFonts w:ascii="Arial" w:hAnsi="Arial" w:eastAsia="Arial"/>
                <w:b w:val="0"/>
                <w:i w:val="0"/>
                <w:color w:val="000000"/>
                <w:sz w:val="20"/>
              </w:rPr>
              <w:t>логістична</w:t>
            </w:r>
          </w:p>
        </w:tc>
        <w:tc>
          <w:tcPr>
            <w:tcW w:type="dxa" w:w="1247"/>
          </w:tcPr>
          <w:p>
            <w:pPr>
              <w:jc w:val="left"/>
            </w:pPr>
            <w:r/>
            <w:r>
              <w:rPr>
                <w:rFonts w:ascii="Arial" w:hAnsi="Arial" w:eastAsia="Arial"/>
                <w:b w:val="0"/>
                <w:i w:val="0"/>
                <w:color w:val="000000"/>
                <w:sz w:val="20"/>
              </w:rPr>
              <w:t>падіння пропускної спроможності, затримки на кордонах, портові або дунайські обмеження</w:t>
            </w:r>
          </w:p>
        </w:tc>
        <w:tc>
          <w:tcPr>
            <w:tcW w:type="dxa" w:w="1247"/>
          </w:tcPr>
          <w:p>
            <w:pPr>
              <w:jc w:val="left"/>
            </w:pPr>
            <w:r/>
            <w:r>
              <w:rPr>
                <w:rFonts w:ascii="Arial" w:hAnsi="Arial" w:eastAsia="Arial"/>
                <w:b w:val="0"/>
                <w:i w:val="0"/>
                <w:color w:val="000000"/>
                <w:sz w:val="20"/>
              </w:rPr>
              <w:t>0.55</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5</w:t>
            </w:r>
          </w:p>
        </w:tc>
        <w:tc>
          <w:tcPr>
            <w:tcW w:type="dxa" w:w="1247"/>
          </w:tcPr>
          <w:p>
            <w:pPr>
              <w:jc w:val="left"/>
            </w:pPr>
            <w:r/>
            <w:r>
              <w:rPr>
                <w:rFonts w:ascii="Arial" w:hAnsi="Arial" w:eastAsia="Arial"/>
                <w:b w:val="0"/>
                <w:i w:val="0"/>
                <w:color w:val="000000"/>
                <w:sz w:val="20"/>
              </w:rPr>
              <w:t>5</w:t>
            </w:r>
          </w:p>
        </w:tc>
        <w:tc>
          <w:tcPr>
            <w:tcW w:type="dxa" w:w="1247"/>
          </w:tcPr>
          <w:p>
            <w:pPr>
              <w:jc w:val="left"/>
            </w:pPr>
            <w:r/>
            <w:r>
              <w:rPr>
                <w:rFonts w:ascii="Arial" w:hAnsi="Arial" w:eastAsia="Arial"/>
                <w:b w:val="0"/>
                <w:i w:val="0"/>
                <w:color w:val="000000"/>
                <w:sz w:val="20"/>
              </w:rPr>
              <w:t>0.7</w:t>
            </w:r>
          </w:p>
        </w:tc>
        <w:tc>
          <w:tcPr>
            <w:tcW w:type="dxa" w:w="1247"/>
          </w:tcPr>
          <w:p>
            <w:pPr>
              <w:jc w:val="left"/>
            </w:pPr>
            <w:r/>
            <w:r>
              <w:rPr>
                <w:rFonts w:ascii="Arial" w:hAnsi="Arial" w:eastAsia="Arial"/>
                <w:b w:val="0"/>
                <w:i w:val="0"/>
                <w:color w:val="000000"/>
                <w:sz w:val="20"/>
              </w:rPr>
              <w:t>30.8</w:t>
            </w:r>
          </w:p>
        </w:tc>
        <w:tc>
          <w:tcPr>
            <w:tcW w:type="dxa" w:w="1247"/>
          </w:tcPr>
          <w:p>
            <w:pPr>
              <w:jc w:val="left"/>
            </w:pPr>
            <w:r/>
            <w:r>
              <w:rPr>
                <w:rFonts w:ascii="Arial" w:hAnsi="Arial" w:eastAsia="Arial"/>
                <w:b w:val="0"/>
                <w:i w:val="0"/>
                <w:color w:val="000000"/>
                <w:sz w:val="20"/>
              </w:rPr>
              <w:t>Logistics in Ukraine; Impact of War</w:t>
            </w:r>
          </w:p>
        </w:tc>
        <w:tc>
          <w:tcPr>
            <w:tcW w:type="dxa" w:w="1247"/>
          </w:tcPr>
          <w:p>
            <w:pPr>
              <w:jc w:val="left"/>
            </w:pPr>
            <w:r/>
            <w:r>
              <w:rPr>
                <w:rFonts w:ascii="Arial" w:hAnsi="Arial" w:eastAsia="Arial"/>
                <w:b w:val="0"/>
                <w:i w:val="0"/>
                <w:color w:val="000000"/>
                <w:sz w:val="20"/>
              </w:rPr>
              <w:t>Критичний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R05</w:t>
            </w:r>
          </w:p>
        </w:tc>
        <w:tc>
          <w:tcPr>
            <w:tcW w:type="dxa" w:w="1247"/>
          </w:tcPr>
          <w:p>
            <w:pPr>
              <w:jc w:val="left"/>
            </w:pPr>
            <w:r/>
            <w:r>
              <w:rPr>
                <w:rFonts w:ascii="Arial" w:hAnsi="Arial" w:eastAsia="Arial"/>
                <w:b w:val="0"/>
                <w:i w:val="0"/>
                <w:color w:val="000000"/>
                <w:sz w:val="20"/>
              </w:rPr>
              <w:t>Брак приватних інвестицій і страхового покриття</w:t>
            </w:r>
          </w:p>
        </w:tc>
        <w:tc>
          <w:tcPr>
            <w:tcW w:type="dxa" w:w="1247"/>
          </w:tcPr>
          <w:p>
            <w:pPr>
              <w:jc w:val="left"/>
            </w:pPr>
            <w:r/>
            <w:r>
              <w:rPr>
                <w:rFonts w:ascii="Arial" w:hAnsi="Arial" w:eastAsia="Arial"/>
                <w:b w:val="0"/>
                <w:i w:val="0"/>
                <w:color w:val="000000"/>
                <w:sz w:val="20"/>
              </w:rPr>
              <w:t>фінансова</w:t>
            </w:r>
          </w:p>
        </w:tc>
        <w:tc>
          <w:tcPr>
            <w:tcW w:type="dxa" w:w="1247"/>
          </w:tcPr>
          <w:p>
            <w:pPr>
              <w:jc w:val="left"/>
            </w:pPr>
            <w:r/>
            <w:r>
              <w:rPr>
                <w:rFonts w:ascii="Arial" w:hAnsi="Arial" w:eastAsia="Arial"/>
                <w:b w:val="0"/>
                <w:i w:val="0"/>
                <w:color w:val="000000"/>
                <w:sz w:val="20"/>
              </w:rPr>
              <w:t>недостатній обсяг гарантій; обмежена war-risk insurance виробничий контур; короткий горизонт приватного CAPEX</w:t>
            </w:r>
          </w:p>
        </w:tc>
        <w:tc>
          <w:tcPr>
            <w:tcW w:type="dxa" w:w="1247"/>
          </w:tcPr>
          <w:p>
            <w:pPr>
              <w:jc w:val="left"/>
            </w:pPr>
            <w:r/>
            <w:r>
              <w:rPr>
                <w:rFonts w:ascii="Arial" w:hAnsi="Arial" w:eastAsia="Arial"/>
                <w:b w:val="0"/>
                <w:i w:val="0"/>
                <w:color w:val="000000"/>
                <w:sz w:val="20"/>
              </w:rPr>
              <w:t>0.6</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5</w:t>
            </w:r>
          </w:p>
        </w:tc>
        <w:tc>
          <w:tcPr>
            <w:tcW w:type="dxa" w:w="1247"/>
          </w:tcPr>
          <w:p>
            <w:pPr>
              <w:jc w:val="left"/>
            </w:pPr>
            <w:r/>
            <w:r>
              <w:rPr>
                <w:rFonts w:ascii="Arial" w:hAnsi="Arial" w:eastAsia="Arial"/>
                <w:b w:val="0"/>
                <w:i w:val="0"/>
                <w:color w:val="000000"/>
                <w:sz w:val="20"/>
              </w:rPr>
              <w:t>0.75</w:t>
            </w:r>
          </w:p>
        </w:tc>
        <w:tc>
          <w:tcPr>
            <w:tcW w:type="dxa" w:w="1247"/>
          </w:tcPr>
          <w:p>
            <w:pPr>
              <w:jc w:val="left"/>
            </w:pPr>
            <w:r/>
            <w:r>
              <w:rPr>
                <w:rFonts w:ascii="Arial" w:hAnsi="Arial" w:eastAsia="Arial"/>
                <w:b w:val="0"/>
                <w:i w:val="0"/>
                <w:color w:val="000000"/>
                <w:sz w:val="20"/>
              </w:rPr>
              <w:t>28.8</w:t>
            </w:r>
          </w:p>
        </w:tc>
        <w:tc>
          <w:tcPr>
            <w:tcW w:type="dxa" w:w="1247"/>
          </w:tcPr>
          <w:p>
            <w:pPr>
              <w:jc w:val="left"/>
            </w:pPr>
            <w:r/>
            <w:r>
              <w:rPr>
                <w:rFonts w:ascii="Arial" w:hAnsi="Arial" w:eastAsia="Arial"/>
                <w:b w:val="0"/>
                <w:i w:val="0"/>
                <w:color w:val="000000"/>
                <w:sz w:val="20"/>
              </w:rPr>
              <w:t>[S391], [S393], [S397]</w:t>
            </w:r>
          </w:p>
        </w:tc>
        <w:tc>
          <w:tcPr>
            <w:tcW w:type="dxa" w:w="1247"/>
          </w:tcPr>
          <w:p>
            <w:pPr>
              <w:jc w:val="left"/>
            </w:pPr>
            <w:r/>
            <w:r>
              <w:rPr>
                <w:rFonts w:ascii="Arial" w:hAnsi="Arial" w:eastAsia="Arial"/>
                <w:b w:val="0"/>
                <w:i w:val="0"/>
                <w:color w:val="000000"/>
                <w:sz w:val="20"/>
              </w:rPr>
              <w:t>Підвищений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R06</w:t>
            </w:r>
          </w:p>
        </w:tc>
        <w:tc>
          <w:tcPr>
            <w:tcW w:type="dxa" w:w="1247"/>
          </w:tcPr>
          <w:p>
            <w:pPr>
              <w:jc w:val="left"/>
            </w:pPr>
            <w:r/>
            <w:r>
              <w:rPr>
                <w:rFonts w:ascii="Arial" w:hAnsi="Arial" w:eastAsia="Arial"/>
                <w:b w:val="0"/>
                <w:i w:val="0"/>
                <w:color w:val="000000"/>
                <w:sz w:val="20"/>
              </w:rPr>
              <w:t>Демографічний і кадровий відтік</w:t>
            </w:r>
          </w:p>
        </w:tc>
        <w:tc>
          <w:tcPr>
            <w:tcW w:type="dxa" w:w="1247"/>
          </w:tcPr>
          <w:p>
            <w:pPr>
              <w:jc w:val="left"/>
            </w:pPr>
            <w:r/>
            <w:r>
              <w:rPr>
                <w:rFonts w:ascii="Arial" w:hAnsi="Arial" w:eastAsia="Arial"/>
                <w:b w:val="0"/>
                <w:i w:val="0"/>
                <w:color w:val="000000"/>
                <w:sz w:val="20"/>
              </w:rPr>
              <w:t>людський капітал</w:t>
            </w:r>
          </w:p>
        </w:tc>
        <w:tc>
          <w:tcPr>
            <w:tcW w:type="dxa" w:w="1247"/>
          </w:tcPr>
          <w:p>
            <w:pPr>
              <w:jc w:val="left"/>
            </w:pPr>
            <w:r/>
            <w:r>
              <w:rPr>
                <w:rFonts w:ascii="Arial" w:hAnsi="Arial" w:eastAsia="Arial"/>
                <w:b w:val="0"/>
                <w:i w:val="0"/>
                <w:color w:val="000000"/>
                <w:sz w:val="20"/>
              </w:rPr>
              <w:t>технічний vacancy gap; низький випуск коротких програм; зростання кадрового дефіциту у будівництві, енергетиці, машинобудуванні</w:t>
            </w:r>
          </w:p>
        </w:tc>
        <w:tc>
          <w:tcPr>
            <w:tcW w:type="dxa" w:w="1247"/>
          </w:tcPr>
          <w:p>
            <w:pPr>
              <w:jc w:val="left"/>
            </w:pPr>
            <w:r/>
            <w:r>
              <w:rPr>
                <w:rFonts w:ascii="Arial" w:hAnsi="Arial" w:eastAsia="Arial"/>
                <w:b w:val="0"/>
                <w:i w:val="0"/>
                <w:color w:val="000000"/>
                <w:sz w:val="20"/>
              </w:rPr>
              <w:t>0.45</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0.75</w:t>
            </w:r>
          </w:p>
        </w:tc>
        <w:tc>
          <w:tcPr>
            <w:tcW w:type="dxa" w:w="1247"/>
          </w:tcPr>
          <w:p>
            <w:pPr>
              <w:jc w:val="left"/>
            </w:pPr>
            <w:r/>
            <w:r>
              <w:rPr>
                <w:rFonts w:ascii="Arial" w:hAnsi="Arial" w:eastAsia="Arial"/>
                <w:b w:val="0"/>
                <w:i w:val="0"/>
                <w:color w:val="000000"/>
                <w:sz w:val="20"/>
              </w:rPr>
              <w:t>17.3</w:t>
            </w:r>
          </w:p>
        </w:tc>
        <w:tc>
          <w:tcPr>
            <w:tcW w:type="dxa" w:w="1247"/>
          </w:tcPr>
          <w:p>
            <w:pPr>
              <w:jc w:val="left"/>
            </w:pPr>
            <w:r/>
            <w:r>
              <w:rPr>
                <w:rFonts w:ascii="Arial" w:hAnsi="Arial" w:eastAsia="Arial"/>
                <w:b w:val="0"/>
                <w:i w:val="0"/>
                <w:color w:val="000000"/>
                <w:sz w:val="20"/>
              </w:rPr>
              <w:t>Rebuilding Ukraine: Investment; OECD</w:t>
            </w:r>
          </w:p>
        </w:tc>
        <w:tc>
          <w:tcPr>
            <w:tcW w:type="dxa" w:w="1247"/>
          </w:tcPr>
          <w:p>
            <w:pPr>
              <w:jc w:val="left"/>
            </w:pPr>
            <w:r/>
            <w:r>
              <w:rPr>
                <w:rFonts w:ascii="Arial" w:hAnsi="Arial" w:eastAsia="Arial"/>
                <w:b w:val="0"/>
                <w:i w:val="0"/>
                <w:color w:val="000000"/>
                <w:sz w:val="20"/>
              </w:rPr>
              <w:t>Підвищений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R07</w:t>
            </w:r>
          </w:p>
        </w:tc>
        <w:tc>
          <w:tcPr>
            <w:tcW w:type="dxa" w:w="1247"/>
          </w:tcPr>
          <w:p>
            <w:pPr>
              <w:jc w:val="left"/>
            </w:pPr>
            <w:r/>
            <w:r>
              <w:rPr>
                <w:rFonts w:ascii="Arial" w:hAnsi="Arial" w:eastAsia="Arial"/>
                <w:b w:val="0"/>
                <w:i w:val="0"/>
                <w:color w:val="000000"/>
                <w:sz w:val="20"/>
              </w:rPr>
              <w:t>Фіскально-борговий тиск</w:t>
            </w:r>
          </w:p>
        </w:tc>
        <w:tc>
          <w:tcPr>
            <w:tcW w:type="dxa" w:w="1247"/>
          </w:tcPr>
          <w:p>
            <w:pPr>
              <w:jc w:val="left"/>
            </w:pPr>
            <w:r/>
            <w:r>
              <w:rPr>
                <w:rFonts w:ascii="Arial" w:hAnsi="Arial" w:eastAsia="Arial"/>
                <w:b w:val="0"/>
                <w:i w:val="0"/>
                <w:color w:val="000000"/>
                <w:sz w:val="20"/>
              </w:rPr>
              <w:t>фіскальна</w:t>
            </w:r>
          </w:p>
        </w:tc>
        <w:tc>
          <w:tcPr>
            <w:tcW w:type="dxa" w:w="1247"/>
          </w:tcPr>
          <w:p>
            <w:pPr>
              <w:jc w:val="left"/>
            </w:pPr>
            <w:r/>
            <w:r>
              <w:rPr>
                <w:rFonts w:ascii="Arial" w:hAnsi="Arial" w:eastAsia="Arial"/>
                <w:b w:val="0"/>
                <w:i w:val="0"/>
                <w:color w:val="000000"/>
                <w:sz w:val="20"/>
              </w:rPr>
              <w:t>відхилення дефіциту або боргового навантаження від сценарної смуги; зростання вартості фінансування</w:t>
            </w:r>
          </w:p>
        </w:tc>
        <w:tc>
          <w:tcPr>
            <w:tcW w:type="dxa" w:w="1247"/>
          </w:tcPr>
          <w:p>
            <w:pPr>
              <w:jc w:val="left"/>
            </w:pPr>
            <w:r/>
            <w:r>
              <w:rPr>
                <w:rFonts w:ascii="Arial" w:hAnsi="Arial" w:eastAsia="Arial"/>
                <w:b w:val="0"/>
                <w:i w:val="0"/>
                <w:color w:val="000000"/>
                <w:sz w:val="20"/>
              </w:rPr>
              <w:t>0.55</w:t>
            </w:r>
          </w:p>
        </w:tc>
        <w:tc>
          <w:tcPr>
            <w:tcW w:type="dxa" w:w="1247"/>
          </w:tcPr>
          <w:p>
            <w:pPr>
              <w:jc w:val="left"/>
            </w:pPr>
            <w:r/>
            <w:r>
              <w:rPr>
                <w:rFonts w:ascii="Arial" w:hAnsi="Arial" w:eastAsia="Arial"/>
                <w:b w:val="0"/>
                <w:i w:val="0"/>
                <w:color w:val="000000"/>
                <w:sz w:val="20"/>
              </w:rPr>
              <w:t>5</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5</w:t>
            </w:r>
          </w:p>
        </w:tc>
        <w:tc>
          <w:tcPr>
            <w:tcW w:type="dxa" w:w="1247"/>
          </w:tcPr>
          <w:p>
            <w:pPr>
              <w:jc w:val="left"/>
            </w:pPr>
            <w:r/>
            <w:r>
              <w:rPr>
                <w:rFonts w:ascii="Arial" w:hAnsi="Arial" w:eastAsia="Arial"/>
                <w:b w:val="0"/>
                <w:i w:val="0"/>
                <w:color w:val="000000"/>
                <w:sz w:val="20"/>
              </w:rPr>
              <w:t>0.65</w:t>
            </w:r>
          </w:p>
        </w:tc>
        <w:tc>
          <w:tcPr>
            <w:tcW w:type="dxa" w:w="1247"/>
          </w:tcPr>
          <w:p>
            <w:pPr>
              <w:jc w:val="left"/>
            </w:pPr>
            <w:r/>
            <w:r>
              <w:rPr>
                <w:rFonts w:ascii="Arial" w:hAnsi="Arial" w:eastAsia="Arial"/>
                <w:b w:val="0"/>
                <w:i w:val="0"/>
                <w:color w:val="000000"/>
                <w:sz w:val="20"/>
              </w:rPr>
              <w:t>28.6</w:t>
            </w:r>
          </w:p>
        </w:tc>
        <w:tc>
          <w:tcPr>
            <w:tcW w:type="dxa" w:w="1247"/>
          </w:tcPr>
          <w:p>
            <w:pPr>
              <w:jc w:val="left"/>
            </w:pPr>
            <w:r/>
            <w:r>
              <w:rPr>
                <w:rFonts w:ascii="Arial" w:hAnsi="Arial" w:eastAsia="Arial"/>
                <w:b w:val="0"/>
                <w:i w:val="0"/>
                <w:color w:val="000000"/>
                <w:sz w:val="20"/>
              </w:rPr>
              <w:t>[S377], [S394], [S380]</w:t>
            </w:r>
          </w:p>
        </w:tc>
        <w:tc>
          <w:tcPr>
            <w:tcW w:type="dxa" w:w="1247"/>
          </w:tcPr>
          <w:p>
            <w:pPr>
              <w:jc w:val="left"/>
            </w:pPr>
            <w:r/>
            <w:r>
              <w:rPr>
                <w:rFonts w:ascii="Arial" w:hAnsi="Arial" w:eastAsia="Arial"/>
                <w:b w:val="0"/>
                <w:i w:val="0"/>
                <w:color w:val="000000"/>
                <w:sz w:val="20"/>
              </w:rPr>
              <w:t>Підвищений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R08</w:t>
            </w:r>
          </w:p>
        </w:tc>
        <w:tc>
          <w:tcPr>
            <w:tcW w:type="dxa" w:w="1247"/>
          </w:tcPr>
          <w:p>
            <w:pPr>
              <w:jc w:val="left"/>
            </w:pPr>
            <w:r/>
            <w:r>
              <w:rPr>
                <w:rFonts w:ascii="Arial" w:hAnsi="Arial" w:eastAsia="Arial"/>
                <w:b w:val="0"/>
                <w:i w:val="0"/>
                <w:color w:val="000000"/>
                <w:sz w:val="20"/>
              </w:rPr>
              <w:t>Технологічне відставання і проєктна готовність</w:t>
            </w:r>
          </w:p>
        </w:tc>
        <w:tc>
          <w:tcPr>
            <w:tcW w:type="dxa" w:w="1247"/>
          </w:tcPr>
          <w:p>
            <w:pPr>
              <w:jc w:val="left"/>
            </w:pPr>
            <w:r/>
            <w:r>
              <w:rPr>
                <w:rFonts w:ascii="Arial" w:hAnsi="Arial" w:eastAsia="Arial"/>
                <w:b w:val="0"/>
                <w:i w:val="0"/>
                <w:color w:val="000000"/>
                <w:sz w:val="20"/>
              </w:rPr>
              <w:t>технологічна / інституційна</w:t>
            </w:r>
          </w:p>
        </w:tc>
        <w:tc>
          <w:tcPr>
            <w:tcW w:type="dxa" w:w="1247"/>
          </w:tcPr>
          <w:p>
            <w:pPr>
              <w:jc w:val="left"/>
            </w:pPr>
            <w:r/>
            <w:r>
              <w:rPr>
                <w:rFonts w:ascii="Arial" w:hAnsi="Arial" w:eastAsia="Arial"/>
                <w:b w:val="0"/>
                <w:i w:val="0"/>
                <w:color w:val="000000"/>
                <w:sz w:val="20"/>
              </w:rPr>
              <w:t>низька частка bankable projects; черги дозволів; procurement delays; слабкий MRV / сертифікаційний контур</w:t>
            </w:r>
          </w:p>
        </w:tc>
        <w:tc>
          <w:tcPr>
            <w:tcW w:type="dxa" w:w="1247"/>
          </w:tcPr>
          <w:p>
            <w:pPr>
              <w:jc w:val="left"/>
            </w:pPr>
            <w:r/>
            <w:r>
              <w:rPr>
                <w:rFonts w:ascii="Arial" w:hAnsi="Arial" w:eastAsia="Arial"/>
                <w:b w:val="0"/>
                <w:i w:val="0"/>
                <w:color w:val="000000"/>
                <w:sz w:val="20"/>
              </w:rPr>
              <w:t>0.5</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0.75</w:t>
            </w:r>
          </w:p>
        </w:tc>
        <w:tc>
          <w:tcPr>
            <w:tcW w:type="dxa" w:w="1247"/>
          </w:tcPr>
          <w:p>
            <w:pPr>
              <w:jc w:val="left"/>
            </w:pPr>
            <w:r/>
            <w:r>
              <w:rPr>
                <w:rFonts w:ascii="Arial" w:hAnsi="Arial" w:eastAsia="Arial"/>
                <w:b w:val="0"/>
                <w:i w:val="0"/>
                <w:color w:val="000000"/>
                <w:sz w:val="20"/>
              </w:rPr>
              <w:t>19.2</w:t>
            </w:r>
          </w:p>
        </w:tc>
        <w:tc>
          <w:tcPr>
            <w:tcW w:type="dxa" w:w="1247"/>
          </w:tcPr>
          <w:p>
            <w:pPr>
              <w:jc w:val="left"/>
            </w:pPr>
            <w:r/>
            <w:r>
              <w:rPr>
                <w:rFonts w:ascii="Arial" w:hAnsi="Arial" w:eastAsia="Arial"/>
                <w:b w:val="0"/>
                <w:i w:val="0"/>
                <w:color w:val="000000"/>
                <w:sz w:val="20"/>
              </w:rPr>
              <w:t>Ukraine Fifth Rapid</w:t>
            </w:r>
          </w:p>
        </w:tc>
        <w:tc>
          <w:tcPr>
            <w:tcW w:type="dxa" w:w="1247"/>
          </w:tcPr>
          <w:p>
            <w:pPr>
              <w:jc w:val="left"/>
            </w:pPr>
            <w:r/>
            <w:r>
              <w:rPr>
                <w:rFonts w:ascii="Arial" w:hAnsi="Arial" w:eastAsia="Arial"/>
                <w:b w:val="0"/>
                <w:i w:val="0"/>
                <w:color w:val="000000"/>
                <w:sz w:val="20"/>
              </w:rPr>
              <w:t>Підвищений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R09</w:t>
            </w:r>
          </w:p>
        </w:tc>
        <w:tc>
          <w:tcPr>
            <w:tcW w:type="dxa" w:w="1247"/>
          </w:tcPr>
          <w:p>
            <w:pPr>
              <w:jc w:val="left"/>
            </w:pPr>
            <w:r/>
            <w:r>
              <w:rPr>
                <w:rFonts w:ascii="Arial" w:hAnsi="Arial" w:eastAsia="Arial"/>
                <w:b w:val="0"/>
                <w:i w:val="0"/>
                <w:color w:val="000000"/>
                <w:sz w:val="20"/>
              </w:rPr>
              <w:t>CBAM і ризик доступу до ринків</w:t>
            </w:r>
          </w:p>
        </w:tc>
        <w:tc>
          <w:tcPr>
            <w:tcW w:type="dxa" w:w="1247"/>
          </w:tcPr>
          <w:p>
            <w:pPr>
              <w:jc w:val="left"/>
            </w:pPr>
            <w:r/>
            <w:r>
              <w:rPr>
                <w:rFonts w:ascii="Arial" w:hAnsi="Arial" w:eastAsia="Arial"/>
                <w:b w:val="0"/>
                <w:i w:val="0"/>
                <w:color w:val="000000"/>
                <w:sz w:val="20"/>
              </w:rPr>
              <w:t>регуляторна / ринкова</w:t>
            </w:r>
          </w:p>
        </w:tc>
        <w:tc>
          <w:tcPr>
            <w:tcW w:type="dxa" w:w="1247"/>
          </w:tcPr>
          <w:p>
            <w:pPr>
              <w:jc w:val="left"/>
            </w:pPr>
            <w:r/>
            <w:r>
              <w:rPr>
                <w:rFonts w:ascii="Arial" w:hAnsi="Arial" w:eastAsia="Arial"/>
                <w:b w:val="0"/>
                <w:i w:val="0"/>
                <w:color w:val="000000"/>
                <w:sz w:val="20"/>
              </w:rPr>
              <w:t>розрив MRV; відсутність вуглецевої звітності; невідповідність технічним вимогам ЄС</w:t>
            </w:r>
          </w:p>
        </w:tc>
        <w:tc>
          <w:tcPr>
            <w:tcW w:type="dxa" w:w="1247"/>
          </w:tcPr>
          <w:p>
            <w:pPr>
              <w:jc w:val="left"/>
            </w:pPr>
            <w:r/>
            <w:r>
              <w:rPr>
                <w:rFonts w:ascii="Arial" w:hAnsi="Arial" w:eastAsia="Arial"/>
                <w:b w:val="0"/>
                <w:i w:val="0"/>
                <w:color w:val="000000"/>
                <w:sz w:val="20"/>
              </w:rPr>
              <w:t>0.4</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3</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0.75</w:t>
            </w:r>
          </w:p>
        </w:tc>
        <w:tc>
          <w:tcPr>
            <w:tcW w:type="dxa" w:w="1247"/>
          </w:tcPr>
          <w:p>
            <w:pPr>
              <w:jc w:val="left"/>
            </w:pPr>
            <w:r/>
            <w:r>
              <w:rPr>
                <w:rFonts w:ascii="Arial" w:hAnsi="Arial" w:eastAsia="Arial"/>
                <w:b w:val="0"/>
                <w:i w:val="0"/>
                <w:color w:val="000000"/>
                <w:sz w:val="20"/>
              </w:rPr>
              <w:t>11.5</w:t>
            </w:r>
          </w:p>
        </w:tc>
        <w:tc>
          <w:tcPr>
            <w:tcW w:type="dxa" w:w="1247"/>
          </w:tcPr>
          <w:p>
            <w:pPr>
              <w:jc w:val="left"/>
            </w:pPr>
            <w:r/>
            <w:r>
              <w:rPr>
                <w:rFonts w:ascii="Arial" w:hAnsi="Arial" w:eastAsia="Arial"/>
                <w:b w:val="0"/>
                <w:i w:val="0"/>
                <w:color w:val="000000"/>
                <w:sz w:val="20"/>
              </w:rPr>
              <w:t>European Commission</w:t>
            </w:r>
          </w:p>
        </w:tc>
        <w:tc>
          <w:tcPr>
            <w:tcW w:type="dxa" w:w="1247"/>
          </w:tcPr>
          <w:p>
            <w:pPr>
              <w:jc w:val="left"/>
            </w:pPr>
            <w:r/>
            <w:r>
              <w:rPr>
                <w:rFonts w:ascii="Arial" w:hAnsi="Arial" w:eastAsia="Arial"/>
                <w:b w:val="0"/>
                <w:i w:val="0"/>
                <w:color w:val="000000"/>
                <w:sz w:val="20"/>
              </w:rPr>
              <w:t>Контрольний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R10</w:t>
            </w:r>
          </w:p>
        </w:tc>
        <w:tc>
          <w:tcPr>
            <w:tcW w:type="dxa" w:w="1247"/>
          </w:tcPr>
          <w:p>
            <w:pPr>
              <w:jc w:val="left"/>
            </w:pPr>
            <w:r/>
            <w:r>
              <w:rPr>
                <w:rFonts w:ascii="Arial" w:hAnsi="Arial" w:eastAsia="Arial"/>
                <w:b w:val="0"/>
                <w:i w:val="0"/>
                <w:color w:val="000000"/>
                <w:sz w:val="20"/>
              </w:rPr>
              <w:t>Порушення глобальних ланцюгів і ринкова кон’юнктура</w:t>
            </w:r>
          </w:p>
        </w:tc>
        <w:tc>
          <w:tcPr>
            <w:tcW w:type="dxa" w:w="1247"/>
          </w:tcPr>
          <w:p>
            <w:pPr>
              <w:jc w:val="left"/>
            </w:pPr>
            <w:r/>
            <w:r>
              <w:rPr>
                <w:rFonts w:ascii="Arial" w:hAnsi="Arial" w:eastAsia="Arial"/>
                <w:b w:val="0"/>
                <w:i w:val="0"/>
                <w:color w:val="000000"/>
                <w:sz w:val="20"/>
              </w:rPr>
              <w:t>зовнішньоекономічна</w:t>
            </w:r>
          </w:p>
        </w:tc>
        <w:tc>
          <w:tcPr>
            <w:tcW w:type="dxa" w:w="1247"/>
          </w:tcPr>
          <w:p>
            <w:pPr>
              <w:jc w:val="left"/>
            </w:pPr>
            <w:r/>
            <w:r>
              <w:rPr>
                <w:rFonts w:ascii="Arial" w:hAnsi="Arial" w:eastAsia="Arial"/>
                <w:b w:val="0"/>
                <w:i w:val="0"/>
                <w:color w:val="000000"/>
                <w:sz w:val="20"/>
              </w:rPr>
              <w:t>зміна світового попиту, цін на сталь, добрива, агропродукцію або енергію; збої постачання компонентів</w:t>
            </w:r>
          </w:p>
        </w:tc>
        <w:tc>
          <w:tcPr>
            <w:tcW w:type="dxa" w:w="1247"/>
          </w:tcPr>
          <w:p>
            <w:pPr>
              <w:jc w:val="left"/>
            </w:pPr>
            <w:r/>
            <w:r>
              <w:rPr>
                <w:rFonts w:ascii="Arial" w:hAnsi="Arial" w:eastAsia="Arial"/>
                <w:b w:val="0"/>
                <w:i w:val="0"/>
                <w:color w:val="000000"/>
                <w:sz w:val="20"/>
              </w:rPr>
              <w:t>0.38</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3</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0.7</w:t>
            </w:r>
          </w:p>
        </w:tc>
        <w:tc>
          <w:tcPr>
            <w:tcW w:type="dxa" w:w="1247"/>
          </w:tcPr>
          <w:p>
            <w:pPr>
              <w:jc w:val="left"/>
            </w:pPr>
            <w:r/>
            <w:r>
              <w:rPr>
                <w:rFonts w:ascii="Arial" w:hAnsi="Arial" w:eastAsia="Arial"/>
                <w:b w:val="0"/>
                <w:i w:val="0"/>
                <w:color w:val="000000"/>
                <w:sz w:val="20"/>
              </w:rPr>
              <w:t>10.2</w:t>
            </w:r>
          </w:p>
        </w:tc>
        <w:tc>
          <w:tcPr>
            <w:tcW w:type="dxa" w:w="1247"/>
          </w:tcPr>
          <w:p>
            <w:pPr>
              <w:jc w:val="left"/>
            </w:pPr>
            <w:r/>
            <w:r>
              <w:rPr>
                <w:rFonts w:ascii="Arial" w:hAnsi="Arial" w:eastAsia="Arial"/>
                <w:b w:val="0"/>
                <w:i w:val="0"/>
                <w:color w:val="000000"/>
                <w:sz w:val="20"/>
              </w:rPr>
              <w:t>worldsteel; OECD‑FAO</w:t>
            </w:r>
          </w:p>
        </w:tc>
        <w:tc>
          <w:tcPr>
            <w:tcW w:type="dxa" w:w="1247"/>
          </w:tcPr>
          <w:p>
            <w:pPr>
              <w:jc w:val="left"/>
            </w:pPr>
            <w:r/>
            <w:r>
              <w:rPr>
                <w:rFonts w:ascii="Arial" w:hAnsi="Arial" w:eastAsia="Arial"/>
                <w:b w:val="0"/>
                <w:i w:val="0"/>
                <w:color w:val="000000"/>
                <w:sz w:val="20"/>
              </w:rPr>
              <w:t>Контрольний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R11</w:t>
            </w:r>
          </w:p>
        </w:tc>
        <w:tc>
          <w:tcPr>
            <w:tcW w:type="dxa" w:w="1247"/>
          </w:tcPr>
          <w:p>
            <w:pPr>
              <w:jc w:val="left"/>
            </w:pPr>
            <w:r/>
            <w:r>
              <w:rPr>
                <w:rFonts w:ascii="Arial" w:hAnsi="Arial" w:eastAsia="Arial"/>
                <w:b w:val="0"/>
                <w:i w:val="0"/>
                <w:color w:val="000000"/>
                <w:sz w:val="20"/>
              </w:rPr>
              <w:t>Регіонально-соціальна нестійкість і слабка абсорбція відбудови</w:t>
            </w:r>
          </w:p>
        </w:tc>
        <w:tc>
          <w:tcPr>
            <w:tcW w:type="dxa" w:w="1247"/>
          </w:tcPr>
          <w:p>
            <w:pPr>
              <w:jc w:val="left"/>
            </w:pPr>
            <w:r/>
            <w:r>
              <w:rPr>
                <w:rFonts w:ascii="Arial" w:hAnsi="Arial" w:eastAsia="Arial"/>
                <w:b w:val="0"/>
                <w:i w:val="0"/>
                <w:color w:val="000000"/>
                <w:sz w:val="20"/>
              </w:rPr>
              <w:t>регіональна / соціальна</w:t>
            </w:r>
          </w:p>
        </w:tc>
        <w:tc>
          <w:tcPr>
            <w:tcW w:type="dxa" w:w="1247"/>
          </w:tcPr>
          <w:p>
            <w:pPr>
              <w:jc w:val="left"/>
            </w:pPr>
            <w:r/>
            <w:r>
              <w:rPr>
                <w:rFonts w:ascii="Arial" w:hAnsi="Arial" w:eastAsia="Arial"/>
                <w:b w:val="0"/>
                <w:i w:val="0"/>
                <w:color w:val="000000"/>
                <w:sz w:val="20"/>
              </w:rPr>
              <w:t>низька локалізація, слабка підрядна база, дефіцит матеріалів, перекіс відбудови між регіонами</w:t>
            </w:r>
          </w:p>
        </w:tc>
        <w:tc>
          <w:tcPr>
            <w:tcW w:type="dxa" w:w="1247"/>
          </w:tcPr>
          <w:p>
            <w:pPr>
              <w:jc w:val="left"/>
            </w:pPr>
            <w:r/>
            <w:r>
              <w:rPr>
                <w:rFonts w:ascii="Arial" w:hAnsi="Arial" w:eastAsia="Arial"/>
                <w:b w:val="0"/>
                <w:i w:val="0"/>
                <w:color w:val="000000"/>
                <w:sz w:val="20"/>
              </w:rPr>
              <w:t>0.45</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0.78</w:t>
            </w:r>
          </w:p>
        </w:tc>
        <w:tc>
          <w:tcPr>
            <w:tcW w:type="dxa" w:w="1247"/>
          </w:tcPr>
          <w:p>
            <w:pPr>
              <w:jc w:val="left"/>
            </w:pPr>
            <w:r/>
            <w:r>
              <w:rPr>
                <w:rFonts w:ascii="Arial" w:hAnsi="Arial" w:eastAsia="Arial"/>
                <w:b w:val="0"/>
                <w:i w:val="0"/>
                <w:color w:val="000000"/>
                <w:sz w:val="20"/>
              </w:rPr>
              <w:t>18.0</w:t>
            </w:r>
          </w:p>
        </w:tc>
        <w:tc>
          <w:tcPr>
            <w:tcW w:type="dxa" w:w="1247"/>
          </w:tcPr>
          <w:p>
            <w:pPr>
              <w:jc w:val="left"/>
            </w:pPr>
            <w:r/>
            <w:r>
              <w:rPr>
                <w:rFonts w:ascii="Arial" w:hAnsi="Arial" w:eastAsia="Arial"/>
                <w:b w:val="0"/>
                <w:i w:val="0"/>
                <w:color w:val="000000"/>
                <w:sz w:val="20"/>
              </w:rPr>
              <w:t>Ukraine Fifth Rapid; Rebuilding Ukraine: Investment; YC. Market Construction Public</w:t>
            </w:r>
          </w:p>
        </w:tc>
        <w:tc>
          <w:tcPr>
            <w:tcW w:type="dxa" w:w="1247"/>
          </w:tcPr>
          <w:p>
            <w:pPr>
              <w:jc w:val="left"/>
            </w:pPr>
            <w:r/>
            <w:r>
              <w:rPr>
                <w:rFonts w:ascii="Arial" w:hAnsi="Arial" w:eastAsia="Arial"/>
                <w:b w:val="0"/>
                <w:i w:val="0"/>
                <w:color w:val="000000"/>
                <w:sz w:val="20"/>
              </w:rPr>
              <w:t>Підвищений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R12</w:t>
            </w:r>
          </w:p>
        </w:tc>
        <w:tc>
          <w:tcPr>
            <w:tcW w:type="dxa" w:w="1247"/>
          </w:tcPr>
          <w:p>
            <w:pPr>
              <w:jc w:val="left"/>
            </w:pPr>
            <w:r/>
            <w:r>
              <w:rPr>
                <w:rFonts w:ascii="Arial" w:hAnsi="Arial" w:eastAsia="Arial"/>
                <w:b w:val="0"/>
                <w:i w:val="0"/>
                <w:color w:val="000000"/>
                <w:sz w:val="20"/>
              </w:rPr>
              <w:t>Governance і ризик цілісності даних</w:t>
            </w:r>
          </w:p>
        </w:tc>
        <w:tc>
          <w:tcPr>
            <w:tcW w:type="dxa" w:w="1247"/>
          </w:tcPr>
          <w:p>
            <w:pPr>
              <w:jc w:val="left"/>
            </w:pPr>
            <w:r/>
            <w:r>
              <w:rPr>
                <w:rFonts w:ascii="Arial" w:hAnsi="Arial" w:eastAsia="Arial"/>
                <w:b w:val="0"/>
                <w:i w:val="0"/>
                <w:color w:val="000000"/>
                <w:sz w:val="20"/>
              </w:rPr>
              <w:t>управлінська / доказова</w:t>
            </w:r>
          </w:p>
        </w:tc>
        <w:tc>
          <w:tcPr>
            <w:tcW w:type="dxa" w:w="1247"/>
          </w:tcPr>
          <w:p>
            <w:pPr>
              <w:jc w:val="left"/>
            </w:pPr>
            <w:r/>
            <w:r>
              <w:rPr>
                <w:rFonts w:ascii="Arial" w:hAnsi="Arial" w:eastAsia="Arial"/>
                <w:b w:val="0"/>
                <w:i w:val="0"/>
                <w:color w:val="000000"/>
                <w:sz w:val="20"/>
              </w:rPr>
              <w:t>неприв’язані графи, відсутні URL, неканонічне джерело, суперечливі таблиці або незрозумілий score input</w:t>
            </w:r>
          </w:p>
        </w:tc>
        <w:tc>
          <w:tcPr>
            <w:tcW w:type="dxa" w:w="1247"/>
          </w:tcPr>
          <w:p>
            <w:pPr>
              <w:jc w:val="left"/>
            </w:pPr>
            <w:r/>
            <w:r>
              <w:rPr>
                <w:rFonts w:ascii="Arial" w:hAnsi="Arial" w:eastAsia="Arial"/>
                <w:b w:val="0"/>
                <w:i w:val="0"/>
                <w:color w:val="000000"/>
                <w:sz w:val="20"/>
              </w:rPr>
              <w:t>0.3</w:t>
            </w:r>
          </w:p>
        </w:tc>
        <w:tc>
          <w:tcPr>
            <w:tcW w:type="dxa" w:w="1247"/>
          </w:tcPr>
          <w:p>
            <w:pPr>
              <w:jc w:val="left"/>
            </w:pPr>
            <w:r/>
            <w:r>
              <w:rPr>
                <w:rFonts w:ascii="Arial" w:hAnsi="Arial" w:eastAsia="Arial"/>
                <w:b w:val="0"/>
                <w:i w:val="0"/>
                <w:color w:val="000000"/>
                <w:sz w:val="20"/>
              </w:rPr>
              <w:t>3</w:t>
            </w:r>
          </w:p>
        </w:tc>
        <w:tc>
          <w:tcPr>
            <w:tcW w:type="dxa" w:w="1247"/>
          </w:tcPr>
          <w:p>
            <w:pPr>
              <w:jc w:val="left"/>
            </w:pPr>
            <w:r/>
            <w:r>
              <w:rPr>
                <w:rFonts w:ascii="Arial" w:hAnsi="Arial" w:eastAsia="Arial"/>
                <w:b w:val="0"/>
                <w:i w:val="0"/>
                <w:color w:val="000000"/>
                <w:sz w:val="20"/>
              </w:rPr>
              <w:t>3</w:t>
            </w:r>
          </w:p>
        </w:tc>
        <w:tc>
          <w:tcPr>
            <w:tcW w:type="dxa" w:w="1247"/>
          </w:tcPr>
          <w:p>
            <w:pPr>
              <w:jc w:val="left"/>
            </w:pPr>
            <w:r/>
            <w:r>
              <w:rPr>
                <w:rFonts w:ascii="Arial" w:hAnsi="Arial" w:eastAsia="Arial"/>
                <w:b w:val="0"/>
                <w:i w:val="0"/>
                <w:color w:val="000000"/>
                <w:sz w:val="20"/>
              </w:rPr>
              <w:t>3</w:t>
            </w:r>
          </w:p>
        </w:tc>
        <w:tc>
          <w:tcPr>
            <w:tcW w:type="dxa" w:w="1247"/>
          </w:tcPr>
          <w:p>
            <w:pPr>
              <w:jc w:val="left"/>
            </w:pPr>
            <w:r/>
            <w:r>
              <w:rPr>
                <w:rFonts w:ascii="Arial" w:hAnsi="Arial" w:eastAsia="Arial"/>
                <w:b w:val="0"/>
                <w:i w:val="0"/>
                <w:color w:val="000000"/>
                <w:sz w:val="20"/>
              </w:rPr>
              <w:t>0.6</w:t>
            </w:r>
          </w:p>
        </w:tc>
        <w:tc>
          <w:tcPr>
            <w:tcW w:type="dxa" w:w="1247"/>
          </w:tcPr>
          <w:p>
            <w:pPr>
              <w:jc w:val="left"/>
            </w:pPr>
            <w:r/>
            <w:r>
              <w:rPr>
                <w:rFonts w:ascii="Arial" w:hAnsi="Arial" w:eastAsia="Arial"/>
                <w:b w:val="0"/>
                <w:i w:val="0"/>
                <w:color w:val="000000"/>
                <w:sz w:val="20"/>
              </w:rPr>
              <w:t>3.9</w:t>
            </w:r>
          </w:p>
        </w:tc>
        <w:tc>
          <w:tcPr>
            <w:tcW w:type="dxa" w:w="1247"/>
          </w:tcPr>
          <w:p>
            <w:pPr>
              <w:jc w:val="left"/>
            </w:pPr>
            <w:r/>
            <w:r>
              <w:rPr>
                <w:rFonts w:ascii="Arial" w:hAnsi="Arial" w:eastAsia="Arial"/>
                <w:b w:val="0"/>
                <w:i w:val="0"/>
                <w:color w:val="000000"/>
                <w:sz w:val="20"/>
              </w:rPr>
              <w:t>[S373], [S380], [S378]</w:t>
            </w:r>
          </w:p>
        </w:tc>
        <w:tc>
          <w:tcPr>
            <w:tcW w:type="dxa" w:w="1247"/>
          </w:tcPr>
          <w:p>
            <w:pPr>
              <w:jc w:val="left"/>
            </w:pPr>
            <w:r/>
            <w:r>
              <w:rPr>
                <w:rFonts w:ascii="Arial" w:hAnsi="Arial" w:eastAsia="Arial"/>
                <w:b w:val="0"/>
                <w:i w:val="0"/>
                <w:color w:val="000000"/>
                <w:sz w:val="20"/>
              </w:rPr>
              <w:t>Контрольний</w:t>
            </w:r>
          </w:p>
        </w:tc>
        <w:tc>
          <w:tcPr>
            <w:tcW w:type="dxa" w:w="794"/>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1392"/>
        <w:gridCol w:w="1392"/>
        <w:gridCol w:w="1392"/>
        <w:gridCol w:w="1392"/>
        <w:gridCol w:w="1392"/>
        <w:gridCol w:w="1392"/>
        <w:gridCol w:w="1392"/>
      </w:tblGrid>
      <w:tr>
        <w:tc>
          <w:tcPr>
            <w:tcW w:type="dxa" w:w="2041"/>
          </w:tcPr>
          <w:p>
            <w:pPr>
              <w:jc w:val="left"/>
            </w:pPr>
            <w:r/>
            <w:r>
              <w:rPr>
                <w:rFonts w:ascii="Arial" w:hAnsi="Arial" w:eastAsia="Arial"/>
                <w:b/>
                <w:i w:val="0"/>
                <w:color w:val="000000"/>
                <w:sz w:val="20"/>
              </w:rPr>
              <w:t>ID</w:t>
            </w:r>
          </w:p>
        </w:tc>
        <w:tc>
          <w:tcPr>
            <w:tcW w:type="dxa" w:w="1247"/>
          </w:tcPr>
          <w:p>
            <w:pPr>
              <w:jc w:val="left"/>
            </w:pPr>
            <w:r/>
            <w:r>
              <w:rPr>
                <w:rFonts w:ascii="Arial" w:hAnsi="Arial" w:eastAsia="Arial"/>
                <w:b/>
                <w:i w:val="0"/>
                <w:color w:val="000000"/>
                <w:sz w:val="20"/>
              </w:rPr>
              <w:t>Ризик</w:t>
            </w:r>
          </w:p>
        </w:tc>
        <w:tc>
          <w:tcPr>
            <w:tcW w:type="dxa" w:w="1247"/>
          </w:tcPr>
          <w:p>
            <w:pPr>
              <w:jc w:val="left"/>
            </w:pPr>
            <w:r/>
            <w:r>
              <w:rPr>
                <w:rFonts w:ascii="Arial" w:hAnsi="Arial" w:eastAsia="Arial"/>
                <w:b/>
                <w:i w:val="0"/>
                <w:color w:val="000000"/>
                <w:sz w:val="20"/>
              </w:rPr>
              <w:t>Ймовірність</w:t>
            </w:r>
          </w:p>
        </w:tc>
        <w:tc>
          <w:tcPr>
            <w:tcW w:type="dxa" w:w="1247"/>
          </w:tcPr>
          <w:p>
            <w:pPr>
              <w:jc w:val="left"/>
            </w:pPr>
            <w:r/>
            <w:r>
              <w:rPr>
                <w:rFonts w:ascii="Arial" w:hAnsi="Arial" w:eastAsia="Arial"/>
                <w:b/>
                <w:i w:val="0"/>
                <w:color w:val="000000"/>
                <w:sz w:val="20"/>
              </w:rPr>
              <w:t>Вплив 1-5</w:t>
            </w:r>
          </w:p>
        </w:tc>
        <w:tc>
          <w:tcPr>
            <w:tcW w:type="dxa" w:w="1247"/>
          </w:tcPr>
          <w:p>
            <w:pPr>
              <w:jc w:val="left"/>
            </w:pPr>
            <w:r/>
            <w:r>
              <w:rPr>
                <w:rFonts w:ascii="Arial" w:hAnsi="Arial" w:eastAsia="Arial"/>
                <w:b/>
                <w:i w:val="0"/>
                <w:color w:val="000000"/>
                <w:sz w:val="20"/>
              </w:rPr>
              <w:t>Зона матриці</w:t>
            </w:r>
          </w:p>
        </w:tc>
        <w:tc>
          <w:tcPr>
            <w:tcW w:type="dxa" w:w="1247"/>
          </w:tcPr>
          <w:p>
            <w:pPr>
              <w:jc w:val="left"/>
            </w:pPr>
            <w:r/>
            <w:r>
              <w:rPr>
                <w:rFonts w:ascii="Arial" w:hAnsi="Arial" w:eastAsia="Arial"/>
                <w:b/>
                <w:i w:val="0"/>
                <w:color w:val="000000"/>
                <w:sz w:val="20"/>
              </w:rPr>
              <w:t>Висновок</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R01</w:t>
            </w:r>
          </w:p>
        </w:tc>
        <w:tc>
          <w:tcPr>
            <w:tcW w:type="dxa" w:w="1247"/>
          </w:tcPr>
          <w:p>
            <w:pPr>
              <w:jc w:val="left"/>
            </w:pPr>
            <w:r/>
            <w:r>
              <w:rPr>
                <w:rFonts w:ascii="Arial" w:hAnsi="Arial" w:eastAsia="Arial"/>
                <w:b w:val="0"/>
                <w:i w:val="0"/>
                <w:color w:val="000000"/>
                <w:sz w:val="20"/>
              </w:rPr>
              <w:t>Безпекова ескалація</w:t>
            </w:r>
          </w:p>
        </w:tc>
        <w:tc>
          <w:tcPr>
            <w:tcW w:type="dxa" w:w="1247"/>
          </w:tcPr>
          <w:p>
            <w:pPr>
              <w:jc w:val="left"/>
            </w:pPr>
            <w:r/>
            <w:r>
              <w:rPr>
                <w:rFonts w:ascii="Arial" w:hAnsi="Arial" w:eastAsia="Arial"/>
                <w:b w:val="0"/>
                <w:i w:val="0"/>
                <w:color w:val="000000"/>
                <w:sz w:val="20"/>
              </w:rPr>
              <w:t>0.7</w:t>
            </w:r>
          </w:p>
        </w:tc>
        <w:tc>
          <w:tcPr>
            <w:tcW w:type="dxa" w:w="1247"/>
          </w:tcPr>
          <w:p>
            <w:pPr>
              <w:jc w:val="left"/>
            </w:pPr>
            <w:r/>
            <w:r>
              <w:rPr>
                <w:rFonts w:ascii="Arial" w:hAnsi="Arial" w:eastAsia="Arial"/>
                <w:b w:val="0"/>
                <w:i w:val="0"/>
                <w:color w:val="000000"/>
                <w:sz w:val="20"/>
              </w:rPr>
              <w:t>5</w:t>
            </w:r>
          </w:p>
        </w:tc>
        <w:tc>
          <w:tcPr>
            <w:tcW w:type="dxa" w:w="1247"/>
          </w:tcPr>
          <w:p>
            <w:pPr>
              <w:jc w:val="left"/>
            </w:pPr>
            <w:r/>
            <w:r>
              <w:rPr>
                <w:rFonts w:ascii="Arial" w:hAnsi="Arial" w:eastAsia="Arial"/>
                <w:b w:val="0"/>
                <w:i w:val="0"/>
                <w:color w:val="000000"/>
                <w:sz w:val="20"/>
              </w:rPr>
              <w:t>Висока ймовірність / високий вплив</w:t>
            </w:r>
          </w:p>
        </w:tc>
        <w:tc>
          <w:tcPr>
            <w:tcW w:type="dxa" w:w="1247"/>
          </w:tcPr>
          <w:p>
            <w:pPr>
              <w:jc w:val="left"/>
            </w:pPr>
            <w:r/>
            <w:r>
              <w:rPr>
                <w:rFonts w:ascii="Arial" w:hAnsi="Arial" w:eastAsia="Arial"/>
                <w:b w:val="0"/>
                <w:i w:val="0"/>
                <w:color w:val="000000"/>
                <w:sz w:val="20"/>
              </w:rPr>
              <w:t>Критичний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R02</w:t>
            </w:r>
          </w:p>
        </w:tc>
        <w:tc>
          <w:tcPr>
            <w:tcW w:type="dxa" w:w="1247"/>
          </w:tcPr>
          <w:p>
            <w:pPr>
              <w:jc w:val="left"/>
            </w:pPr>
            <w:r/>
            <w:r>
              <w:rPr>
                <w:rFonts w:ascii="Arial" w:hAnsi="Arial" w:eastAsia="Arial"/>
                <w:b w:val="0"/>
                <w:i w:val="0"/>
                <w:color w:val="000000"/>
                <w:sz w:val="20"/>
              </w:rPr>
              <w:t>Енергетичний дефіцит</w:t>
            </w:r>
          </w:p>
        </w:tc>
        <w:tc>
          <w:tcPr>
            <w:tcW w:type="dxa" w:w="1247"/>
          </w:tcPr>
          <w:p>
            <w:pPr>
              <w:jc w:val="left"/>
            </w:pPr>
            <w:r/>
            <w:r>
              <w:rPr>
                <w:rFonts w:ascii="Arial" w:hAnsi="Arial" w:eastAsia="Arial"/>
                <w:b w:val="0"/>
                <w:i w:val="0"/>
                <w:color w:val="000000"/>
                <w:sz w:val="20"/>
              </w:rPr>
              <w:t>0.65</w:t>
            </w:r>
          </w:p>
        </w:tc>
        <w:tc>
          <w:tcPr>
            <w:tcW w:type="dxa" w:w="1247"/>
          </w:tcPr>
          <w:p>
            <w:pPr>
              <w:jc w:val="left"/>
            </w:pPr>
            <w:r/>
            <w:r>
              <w:rPr>
                <w:rFonts w:ascii="Arial" w:hAnsi="Arial" w:eastAsia="Arial"/>
                <w:b w:val="0"/>
                <w:i w:val="0"/>
                <w:color w:val="000000"/>
                <w:sz w:val="20"/>
              </w:rPr>
              <w:t>5</w:t>
            </w:r>
          </w:p>
        </w:tc>
        <w:tc>
          <w:tcPr>
            <w:tcW w:type="dxa" w:w="1247"/>
          </w:tcPr>
          <w:p>
            <w:pPr>
              <w:jc w:val="left"/>
            </w:pPr>
            <w:r/>
            <w:r>
              <w:rPr>
                <w:rFonts w:ascii="Arial" w:hAnsi="Arial" w:eastAsia="Arial"/>
                <w:b w:val="0"/>
                <w:i w:val="0"/>
                <w:color w:val="000000"/>
                <w:sz w:val="20"/>
              </w:rPr>
              <w:t>Висока ймовірність / високий вплив</w:t>
            </w:r>
          </w:p>
        </w:tc>
        <w:tc>
          <w:tcPr>
            <w:tcW w:type="dxa" w:w="1247"/>
          </w:tcPr>
          <w:p>
            <w:pPr>
              <w:jc w:val="left"/>
            </w:pPr>
            <w:r/>
            <w:r>
              <w:rPr>
                <w:rFonts w:ascii="Arial" w:hAnsi="Arial" w:eastAsia="Arial"/>
                <w:b w:val="0"/>
                <w:i w:val="0"/>
                <w:color w:val="000000"/>
                <w:sz w:val="20"/>
              </w:rPr>
              <w:t>Критичний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R03</w:t>
            </w:r>
          </w:p>
        </w:tc>
        <w:tc>
          <w:tcPr>
            <w:tcW w:type="dxa" w:w="1247"/>
          </w:tcPr>
          <w:p>
            <w:pPr>
              <w:jc w:val="left"/>
            </w:pPr>
            <w:r/>
            <w:r>
              <w:rPr>
                <w:rFonts w:ascii="Arial" w:hAnsi="Arial" w:eastAsia="Arial"/>
                <w:b w:val="0"/>
                <w:i w:val="0"/>
                <w:color w:val="000000"/>
                <w:sz w:val="20"/>
              </w:rPr>
              <w:t>Затримка зовнішнього фінансування</w:t>
            </w:r>
          </w:p>
        </w:tc>
        <w:tc>
          <w:tcPr>
            <w:tcW w:type="dxa" w:w="1247"/>
          </w:tcPr>
          <w:p>
            <w:pPr>
              <w:jc w:val="left"/>
            </w:pPr>
            <w:r/>
            <w:r>
              <w:rPr>
                <w:rFonts w:ascii="Arial" w:hAnsi="Arial" w:eastAsia="Arial"/>
                <w:b w:val="0"/>
                <w:i w:val="0"/>
                <w:color w:val="000000"/>
                <w:sz w:val="20"/>
              </w:rPr>
              <w:t>0.55</w:t>
            </w:r>
          </w:p>
        </w:tc>
        <w:tc>
          <w:tcPr>
            <w:tcW w:type="dxa" w:w="1247"/>
          </w:tcPr>
          <w:p>
            <w:pPr>
              <w:jc w:val="left"/>
            </w:pPr>
            <w:r/>
            <w:r>
              <w:rPr>
                <w:rFonts w:ascii="Arial" w:hAnsi="Arial" w:eastAsia="Arial"/>
                <w:b w:val="0"/>
                <w:i w:val="0"/>
                <w:color w:val="000000"/>
                <w:sz w:val="20"/>
              </w:rPr>
              <w:t>5</w:t>
            </w:r>
          </w:p>
        </w:tc>
        <w:tc>
          <w:tcPr>
            <w:tcW w:type="dxa" w:w="1247"/>
          </w:tcPr>
          <w:p>
            <w:pPr>
              <w:jc w:val="left"/>
            </w:pPr>
            <w:r/>
            <w:r>
              <w:rPr>
                <w:rFonts w:ascii="Arial" w:hAnsi="Arial" w:eastAsia="Arial"/>
                <w:b w:val="0"/>
                <w:i w:val="0"/>
                <w:color w:val="000000"/>
                <w:sz w:val="20"/>
              </w:rPr>
              <w:t>Середня ймовірність / високий вплив</w:t>
            </w:r>
          </w:p>
        </w:tc>
        <w:tc>
          <w:tcPr>
            <w:tcW w:type="dxa" w:w="1247"/>
          </w:tcPr>
          <w:p>
            <w:pPr>
              <w:jc w:val="left"/>
            </w:pPr>
            <w:r/>
            <w:r>
              <w:rPr>
                <w:rFonts w:ascii="Arial" w:hAnsi="Arial" w:eastAsia="Arial"/>
                <w:b w:val="0"/>
                <w:i w:val="0"/>
                <w:color w:val="000000"/>
                <w:sz w:val="20"/>
              </w:rPr>
              <w:t>Підвищений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R04</w:t>
            </w:r>
          </w:p>
        </w:tc>
        <w:tc>
          <w:tcPr>
            <w:tcW w:type="dxa" w:w="1247"/>
          </w:tcPr>
          <w:p>
            <w:pPr>
              <w:jc w:val="left"/>
            </w:pPr>
            <w:r/>
            <w:r>
              <w:rPr>
                <w:rFonts w:ascii="Arial" w:hAnsi="Arial" w:eastAsia="Arial"/>
                <w:b w:val="0"/>
                <w:i w:val="0"/>
                <w:color w:val="000000"/>
                <w:sz w:val="20"/>
              </w:rPr>
              <w:t>Логістичний розрив</w:t>
            </w:r>
          </w:p>
        </w:tc>
        <w:tc>
          <w:tcPr>
            <w:tcW w:type="dxa" w:w="1247"/>
          </w:tcPr>
          <w:p>
            <w:pPr>
              <w:jc w:val="left"/>
            </w:pPr>
            <w:r/>
            <w:r>
              <w:rPr>
                <w:rFonts w:ascii="Arial" w:hAnsi="Arial" w:eastAsia="Arial"/>
                <w:b w:val="0"/>
                <w:i w:val="0"/>
                <w:color w:val="000000"/>
                <w:sz w:val="20"/>
              </w:rPr>
              <w:t>0.55</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Середньо-висока зона</w:t>
            </w:r>
          </w:p>
        </w:tc>
        <w:tc>
          <w:tcPr>
            <w:tcW w:type="dxa" w:w="1247"/>
          </w:tcPr>
          <w:p>
            <w:pPr>
              <w:jc w:val="left"/>
            </w:pPr>
            <w:r/>
            <w:r>
              <w:rPr>
                <w:rFonts w:ascii="Arial" w:hAnsi="Arial" w:eastAsia="Arial"/>
                <w:b w:val="0"/>
                <w:i w:val="0"/>
                <w:color w:val="000000"/>
                <w:sz w:val="20"/>
              </w:rPr>
              <w:t>Критичний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R05</w:t>
            </w:r>
          </w:p>
        </w:tc>
        <w:tc>
          <w:tcPr>
            <w:tcW w:type="dxa" w:w="1247"/>
          </w:tcPr>
          <w:p>
            <w:pPr>
              <w:jc w:val="left"/>
            </w:pPr>
            <w:r/>
            <w:r>
              <w:rPr>
                <w:rFonts w:ascii="Arial" w:hAnsi="Arial" w:eastAsia="Arial"/>
                <w:b w:val="0"/>
                <w:i w:val="0"/>
                <w:color w:val="000000"/>
                <w:sz w:val="20"/>
              </w:rPr>
              <w:t>Брак приватних інвестицій і страхового покриття</w:t>
            </w:r>
          </w:p>
        </w:tc>
        <w:tc>
          <w:tcPr>
            <w:tcW w:type="dxa" w:w="1247"/>
          </w:tcPr>
          <w:p>
            <w:pPr>
              <w:jc w:val="left"/>
            </w:pPr>
            <w:r/>
            <w:r>
              <w:rPr>
                <w:rFonts w:ascii="Arial" w:hAnsi="Arial" w:eastAsia="Arial"/>
                <w:b w:val="0"/>
                <w:i w:val="0"/>
                <w:color w:val="000000"/>
                <w:sz w:val="20"/>
              </w:rPr>
              <w:t>0.6</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Середньо-висока зона</w:t>
            </w:r>
          </w:p>
        </w:tc>
        <w:tc>
          <w:tcPr>
            <w:tcW w:type="dxa" w:w="1247"/>
          </w:tcPr>
          <w:p>
            <w:pPr>
              <w:jc w:val="left"/>
            </w:pPr>
            <w:r/>
            <w:r>
              <w:rPr>
                <w:rFonts w:ascii="Arial" w:hAnsi="Arial" w:eastAsia="Arial"/>
                <w:b w:val="0"/>
                <w:i w:val="0"/>
                <w:color w:val="000000"/>
                <w:sz w:val="20"/>
              </w:rPr>
              <w:t>Підвищений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R06</w:t>
            </w:r>
          </w:p>
        </w:tc>
        <w:tc>
          <w:tcPr>
            <w:tcW w:type="dxa" w:w="1247"/>
          </w:tcPr>
          <w:p>
            <w:pPr>
              <w:jc w:val="left"/>
            </w:pPr>
            <w:r/>
            <w:r>
              <w:rPr>
                <w:rFonts w:ascii="Arial" w:hAnsi="Arial" w:eastAsia="Arial"/>
                <w:b w:val="0"/>
                <w:i w:val="0"/>
                <w:color w:val="000000"/>
                <w:sz w:val="20"/>
              </w:rPr>
              <w:t>Демографічний і кадровий відтік</w:t>
            </w:r>
          </w:p>
        </w:tc>
        <w:tc>
          <w:tcPr>
            <w:tcW w:type="dxa" w:w="1247"/>
          </w:tcPr>
          <w:p>
            <w:pPr>
              <w:jc w:val="left"/>
            </w:pPr>
            <w:r/>
            <w:r>
              <w:rPr>
                <w:rFonts w:ascii="Arial" w:hAnsi="Arial" w:eastAsia="Arial"/>
                <w:b w:val="0"/>
                <w:i w:val="0"/>
                <w:color w:val="000000"/>
                <w:sz w:val="20"/>
              </w:rPr>
              <w:t>0.45</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Контрольна зона</w:t>
            </w:r>
          </w:p>
        </w:tc>
        <w:tc>
          <w:tcPr>
            <w:tcW w:type="dxa" w:w="1247"/>
          </w:tcPr>
          <w:p>
            <w:pPr>
              <w:jc w:val="left"/>
            </w:pPr>
            <w:r/>
            <w:r>
              <w:rPr>
                <w:rFonts w:ascii="Arial" w:hAnsi="Arial" w:eastAsia="Arial"/>
                <w:b w:val="0"/>
                <w:i w:val="0"/>
                <w:color w:val="000000"/>
                <w:sz w:val="20"/>
              </w:rPr>
              <w:t>Підвищений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R07</w:t>
            </w:r>
          </w:p>
        </w:tc>
        <w:tc>
          <w:tcPr>
            <w:tcW w:type="dxa" w:w="1247"/>
          </w:tcPr>
          <w:p>
            <w:pPr>
              <w:jc w:val="left"/>
            </w:pPr>
            <w:r/>
            <w:r>
              <w:rPr>
                <w:rFonts w:ascii="Arial" w:hAnsi="Arial" w:eastAsia="Arial"/>
                <w:b w:val="0"/>
                <w:i w:val="0"/>
                <w:color w:val="000000"/>
                <w:sz w:val="20"/>
              </w:rPr>
              <w:t>Фіскально-борговий тиск</w:t>
            </w:r>
          </w:p>
        </w:tc>
        <w:tc>
          <w:tcPr>
            <w:tcW w:type="dxa" w:w="1247"/>
          </w:tcPr>
          <w:p>
            <w:pPr>
              <w:jc w:val="left"/>
            </w:pPr>
            <w:r/>
            <w:r>
              <w:rPr>
                <w:rFonts w:ascii="Arial" w:hAnsi="Arial" w:eastAsia="Arial"/>
                <w:b w:val="0"/>
                <w:i w:val="0"/>
                <w:color w:val="000000"/>
                <w:sz w:val="20"/>
              </w:rPr>
              <w:t>0.55</w:t>
            </w:r>
          </w:p>
        </w:tc>
        <w:tc>
          <w:tcPr>
            <w:tcW w:type="dxa" w:w="1247"/>
          </w:tcPr>
          <w:p>
            <w:pPr>
              <w:jc w:val="left"/>
            </w:pPr>
            <w:r/>
            <w:r>
              <w:rPr>
                <w:rFonts w:ascii="Arial" w:hAnsi="Arial" w:eastAsia="Arial"/>
                <w:b w:val="0"/>
                <w:i w:val="0"/>
                <w:color w:val="000000"/>
                <w:sz w:val="20"/>
              </w:rPr>
              <w:t>5</w:t>
            </w:r>
          </w:p>
        </w:tc>
        <w:tc>
          <w:tcPr>
            <w:tcW w:type="dxa" w:w="1247"/>
          </w:tcPr>
          <w:p>
            <w:pPr>
              <w:jc w:val="left"/>
            </w:pPr>
            <w:r/>
            <w:r>
              <w:rPr>
                <w:rFonts w:ascii="Arial" w:hAnsi="Arial" w:eastAsia="Arial"/>
                <w:b w:val="0"/>
                <w:i w:val="0"/>
                <w:color w:val="000000"/>
                <w:sz w:val="20"/>
              </w:rPr>
              <w:t>Середня ймовірність / високий вплив</w:t>
            </w:r>
          </w:p>
        </w:tc>
        <w:tc>
          <w:tcPr>
            <w:tcW w:type="dxa" w:w="1247"/>
          </w:tcPr>
          <w:p>
            <w:pPr>
              <w:jc w:val="left"/>
            </w:pPr>
            <w:r/>
            <w:r>
              <w:rPr>
                <w:rFonts w:ascii="Arial" w:hAnsi="Arial" w:eastAsia="Arial"/>
                <w:b w:val="0"/>
                <w:i w:val="0"/>
                <w:color w:val="000000"/>
                <w:sz w:val="20"/>
              </w:rPr>
              <w:t>Підвищений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R08</w:t>
            </w:r>
          </w:p>
        </w:tc>
        <w:tc>
          <w:tcPr>
            <w:tcW w:type="dxa" w:w="1247"/>
          </w:tcPr>
          <w:p>
            <w:pPr>
              <w:jc w:val="left"/>
            </w:pPr>
            <w:r/>
            <w:r>
              <w:rPr>
                <w:rFonts w:ascii="Arial" w:hAnsi="Arial" w:eastAsia="Arial"/>
                <w:b w:val="0"/>
                <w:i w:val="0"/>
                <w:color w:val="000000"/>
                <w:sz w:val="20"/>
              </w:rPr>
              <w:t>Технологічне відставання і проєктна готовність</w:t>
            </w:r>
          </w:p>
        </w:tc>
        <w:tc>
          <w:tcPr>
            <w:tcW w:type="dxa" w:w="1247"/>
          </w:tcPr>
          <w:p>
            <w:pPr>
              <w:jc w:val="left"/>
            </w:pPr>
            <w:r/>
            <w:r>
              <w:rPr>
                <w:rFonts w:ascii="Arial" w:hAnsi="Arial" w:eastAsia="Arial"/>
                <w:b w:val="0"/>
                <w:i w:val="0"/>
                <w:color w:val="000000"/>
                <w:sz w:val="20"/>
              </w:rPr>
              <w:t>0.5</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Середньо-висока зона</w:t>
            </w:r>
          </w:p>
        </w:tc>
        <w:tc>
          <w:tcPr>
            <w:tcW w:type="dxa" w:w="1247"/>
          </w:tcPr>
          <w:p>
            <w:pPr>
              <w:jc w:val="left"/>
            </w:pPr>
            <w:r/>
            <w:r>
              <w:rPr>
                <w:rFonts w:ascii="Arial" w:hAnsi="Arial" w:eastAsia="Arial"/>
                <w:b w:val="0"/>
                <w:i w:val="0"/>
                <w:color w:val="000000"/>
                <w:sz w:val="20"/>
              </w:rPr>
              <w:t>Підвищений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R09</w:t>
            </w:r>
          </w:p>
        </w:tc>
        <w:tc>
          <w:tcPr>
            <w:tcW w:type="dxa" w:w="1247"/>
          </w:tcPr>
          <w:p>
            <w:pPr>
              <w:jc w:val="left"/>
            </w:pPr>
            <w:r/>
            <w:r>
              <w:rPr>
                <w:rFonts w:ascii="Arial" w:hAnsi="Arial" w:eastAsia="Arial"/>
                <w:b w:val="0"/>
                <w:i w:val="0"/>
                <w:color w:val="000000"/>
                <w:sz w:val="20"/>
              </w:rPr>
              <w:t>CBAM і ризик доступу до ринків</w:t>
            </w:r>
          </w:p>
        </w:tc>
        <w:tc>
          <w:tcPr>
            <w:tcW w:type="dxa" w:w="1247"/>
          </w:tcPr>
          <w:p>
            <w:pPr>
              <w:jc w:val="left"/>
            </w:pPr>
            <w:r/>
            <w:r>
              <w:rPr>
                <w:rFonts w:ascii="Arial" w:hAnsi="Arial" w:eastAsia="Arial"/>
                <w:b w:val="0"/>
                <w:i w:val="0"/>
                <w:color w:val="000000"/>
                <w:sz w:val="20"/>
              </w:rPr>
              <w:t>0.4</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Контрольна зона</w:t>
            </w:r>
          </w:p>
        </w:tc>
        <w:tc>
          <w:tcPr>
            <w:tcW w:type="dxa" w:w="1247"/>
          </w:tcPr>
          <w:p>
            <w:pPr>
              <w:jc w:val="left"/>
            </w:pPr>
            <w:r/>
            <w:r>
              <w:rPr>
                <w:rFonts w:ascii="Arial" w:hAnsi="Arial" w:eastAsia="Arial"/>
                <w:b w:val="0"/>
                <w:i w:val="0"/>
                <w:color w:val="000000"/>
                <w:sz w:val="20"/>
              </w:rPr>
              <w:t>Контрольний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R10</w:t>
            </w:r>
          </w:p>
        </w:tc>
        <w:tc>
          <w:tcPr>
            <w:tcW w:type="dxa" w:w="1247"/>
          </w:tcPr>
          <w:p>
            <w:pPr>
              <w:jc w:val="left"/>
            </w:pPr>
            <w:r/>
            <w:r>
              <w:rPr>
                <w:rFonts w:ascii="Arial" w:hAnsi="Arial" w:eastAsia="Arial"/>
                <w:b w:val="0"/>
                <w:i w:val="0"/>
                <w:color w:val="000000"/>
                <w:sz w:val="20"/>
              </w:rPr>
              <w:t>Порушення глобальних ланцюгів і ринкова кон’юнктура</w:t>
            </w:r>
          </w:p>
        </w:tc>
        <w:tc>
          <w:tcPr>
            <w:tcW w:type="dxa" w:w="1247"/>
          </w:tcPr>
          <w:p>
            <w:pPr>
              <w:jc w:val="left"/>
            </w:pPr>
            <w:r/>
            <w:r>
              <w:rPr>
                <w:rFonts w:ascii="Arial" w:hAnsi="Arial" w:eastAsia="Arial"/>
                <w:b w:val="0"/>
                <w:i w:val="0"/>
                <w:color w:val="000000"/>
                <w:sz w:val="20"/>
              </w:rPr>
              <w:t>0.38</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Контрольна зона</w:t>
            </w:r>
          </w:p>
        </w:tc>
        <w:tc>
          <w:tcPr>
            <w:tcW w:type="dxa" w:w="1247"/>
          </w:tcPr>
          <w:p>
            <w:pPr>
              <w:jc w:val="left"/>
            </w:pPr>
            <w:r/>
            <w:r>
              <w:rPr>
                <w:rFonts w:ascii="Arial" w:hAnsi="Arial" w:eastAsia="Arial"/>
                <w:b w:val="0"/>
                <w:i w:val="0"/>
                <w:color w:val="000000"/>
                <w:sz w:val="20"/>
              </w:rPr>
              <w:t>Контрольний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R11</w:t>
            </w:r>
          </w:p>
        </w:tc>
        <w:tc>
          <w:tcPr>
            <w:tcW w:type="dxa" w:w="1247"/>
          </w:tcPr>
          <w:p>
            <w:pPr>
              <w:jc w:val="left"/>
            </w:pPr>
            <w:r/>
            <w:r>
              <w:rPr>
                <w:rFonts w:ascii="Arial" w:hAnsi="Arial" w:eastAsia="Arial"/>
                <w:b w:val="0"/>
                <w:i w:val="0"/>
                <w:color w:val="000000"/>
                <w:sz w:val="20"/>
              </w:rPr>
              <w:t>Регіонально-соціальна нестійкість і слабка абсорбція відбудови</w:t>
            </w:r>
          </w:p>
        </w:tc>
        <w:tc>
          <w:tcPr>
            <w:tcW w:type="dxa" w:w="1247"/>
          </w:tcPr>
          <w:p>
            <w:pPr>
              <w:jc w:val="left"/>
            </w:pPr>
            <w:r/>
            <w:r>
              <w:rPr>
                <w:rFonts w:ascii="Arial" w:hAnsi="Arial" w:eastAsia="Arial"/>
                <w:b w:val="0"/>
                <w:i w:val="0"/>
                <w:color w:val="000000"/>
                <w:sz w:val="20"/>
              </w:rPr>
              <w:t>0.45</w:t>
            </w:r>
          </w:p>
        </w:tc>
        <w:tc>
          <w:tcPr>
            <w:tcW w:type="dxa" w:w="1247"/>
          </w:tcPr>
          <w:p>
            <w:pPr>
              <w:jc w:val="left"/>
            </w:pPr>
            <w:r/>
            <w:r>
              <w:rPr>
                <w:rFonts w:ascii="Arial" w:hAnsi="Arial" w:eastAsia="Arial"/>
                <w:b w:val="0"/>
                <w:i w:val="0"/>
                <w:color w:val="000000"/>
                <w:sz w:val="20"/>
              </w:rPr>
              <w:t>4</w:t>
            </w:r>
          </w:p>
        </w:tc>
        <w:tc>
          <w:tcPr>
            <w:tcW w:type="dxa" w:w="1247"/>
          </w:tcPr>
          <w:p>
            <w:pPr>
              <w:jc w:val="left"/>
            </w:pPr>
            <w:r/>
            <w:r>
              <w:rPr>
                <w:rFonts w:ascii="Arial" w:hAnsi="Arial" w:eastAsia="Arial"/>
                <w:b w:val="0"/>
                <w:i w:val="0"/>
                <w:color w:val="000000"/>
                <w:sz w:val="20"/>
              </w:rPr>
              <w:t>Контрольна зона</w:t>
            </w:r>
          </w:p>
        </w:tc>
        <w:tc>
          <w:tcPr>
            <w:tcW w:type="dxa" w:w="1247"/>
          </w:tcPr>
          <w:p>
            <w:pPr>
              <w:jc w:val="left"/>
            </w:pPr>
            <w:r/>
            <w:r>
              <w:rPr>
                <w:rFonts w:ascii="Arial" w:hAnsi="Arial" w:eastAsia="Arial"/>
                <w:b w:val="0"/>
                <w:i w:val="0"/>
                <w:color w:val="000000"/>
                <w:sz w:val="20"/>
              </w:rPr>
              <w:t>Підвищений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R12</w:t>
            </w:r>
          </w:p>
        </w:tc>
        <w:tc>
          <w:tcPr>
            <w:tcW w:type="dxa" w:w="1247"/>
          </w:tcPr>
          <w:p>
            <w:pPr>
              <w:jc w:val="left"/>
            </w:pPr>
            <w:r/>
            <w:r>
              <w:rPr>
                <w:rFonts w:ascii="Arial" w:hAnsi="Arial" w:eastAsia="Arial"/>
                <w:b w:val="0"/>
                <w:i w:val="0"/>
                <w:color w:val="000000"/>
                <w:sz w:val="20"/>
              </w:rPr>
              <w:t>Governance і ризик цілісності даних</w:t>
            </w:r>
          </w:p>
        </w:tc>
        <w:tc>
          <w:tcPr>
            <w:tcW w:type="dxa" w:w="1247"/>
          </w:tcPr>
          <w:p>
            <w:pPr>
              <w:jc w:val="left"/>
            </w:pPr>
            <w:r/>
            <w:r>
              <w:rPr>
                <w:rFonts w:ascii="Arial" w:hAnsi="Arial" w:eastAsia="Arial"/>
                <w:b w:val="0"/>
                <w:i w:val="0"/>
                <w:color w:val="000000"/>
                <w:sz w:val="20"/>
              </w:rPr>
              <w:t>0.3</w:t>
            </w:r>
          </w:p>
        </w:tc>
        <w:tc>
          <w:tcPr>
            <w:tcW w:type="dxa" w:w="1247"/>
          </w:tcPr>
          <w:p>
            <w:pPr>
              <w:jc w:val="left"/>
            </w:pPr>
            <w:r/>
            <w:r>
              <w:rPr>
                <w:rFonts w:ascii="Arial" w:hAnsi="Arial" w:eastAsia="Arial"/>
                <w:b w:val="0"/>
                <w:i w:val="0"/>
                <w:color w:val="000000"/>
                <w:sz w:val="20"/>
              </w:rPr>
              <w:t>3</w:t>
            </w:r>
          </w:p>
        </w:tc>
        <w:tc>
          <w:tcPr>
            <w:tcW w:type="dxa" w:w="1247"/>
          </w:tcPr>
          <w:p>
            <w:pPr>
              <w:jc w:val="left"/>
            </w:pPr>
            <w:r/>
            <w:r>
              <w:rPr>
                <w:rFonts w:ascii="Arial" w:hAnsi="Arial" w:eastAsia="Arial"/>
                <w:b w:val="0"/>
                <w:i w:val="0"/>
                <w:color w:val="000000"/>
                <w:sz w:val="20"/>
              </w:rPr>
              <w:t>Контрольна зона</w:t>
            </w:r>
          </w:p>
        </w:tc>
        <w:tc>
          <w:tcPr>
            <w:tcW w:type="dxa" w:w="1247"/>
          </w:tcPr>
          <w:p>
            <w:pPr>
              <w:jc w:val="left"/>
            </w:pPr>
            <w:r/>
            <w:r>
              <w:rPr>
                <w:rFonts w:ascii="Arial" w:hAnsi="Arial" w:eastAsia="Arial"/>
                <w:b w:val="0"/>
                <w:i w:val="0"/>
                <w:color w:val="000000"/>
                <w:sz w:val="20"/>
              </w:rPr>
              <w:t>Контрольний</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Сценарні оцінки ризику: шокова, інерційна і трансформаційна траєкторії</w:t>
      </w:r>
    </w:p>
    <w:p>
      <w:pPr>
        <w:jc w:val="both"/>
      </w:pPr>
      <w:r>
        <w:rPr>
          <w:rFonts w:ascii="Arial" w:hAnsi="Arial" w:eastAsia="Arial"/>
          <w:b w:val="0"/>
          <w:i w:val="0"/>
          <w:color w:val="000000"/>
          <w:sz w:val="24"/>
        </w:rPr>
        <w:t>Одна й та сама подія має різну оцінку у різних сценаріях. [1] У шоковій траєкторії зростає ймовірність безпекового, енергетичного, фінансового і логістичного ризику, а готовність нижча через дефіцит часу і ресурсів. В інерційній траєкторії частина запобіжників працює, але не створює системної трансформації. У трансформаційній траєкторії ризик не зникає, однак preparedness підвищується через страхування, енергетичну децентралізацію, проектну готовність, локалізацію і прозорий source audit.</w:t>
      </w:r>
    </w:p>
    <w:tbl>
      <w:tblPr>
        <w:tblStyle w:val="TableGrid"/>
        <w:tblW w:type="auto" w:w="0"/>
        <w:jc w:val="left"/>
        <w:tblLayout w:type="fixed"/>
        <w:tblLook w:firstColumn="1" w:firstRow="1" w:lastColumn="0" w:lastRow="0" w:noHBand="0" w:noVBand="1" w:val="04A0"/>
      </w:tblPr>
      <w:tblGrid>
        <w:gridCol w:w="1218"/>
        <w:gridCol w:w="1218"/>
        <w:gridCol w:w="1218"/>
        <w:gridCol w:w="1218"/>
        <w:gridCol w:w="1218"/>
        <w:gridCol w:w="1218"/>
        <w:gridCol w:w="1218"/>
        <w:gridCol w:w="1218"/>
      </w:tblGrid>
      <w:tr>
        <w:tc>
          <w:tcPr>
            <w:tcW w:type="dxa" w:w="2041"/>
          </w:tcPr>
          <w:p>
            <w:pPr>
              <w:jc w:val="left"/>
            </w:pPr>
            <w:r/>
            <w:r>
              <w:rPr>
                <w:rFonts w:ascii="Arial" w:hAnsi="Arial" w:eastAsia="Arial"/>
                <w:b/>
                <w:i w:val="0"/>
                <w:color w:val="000000"/>
                <w:sz w:val="20"/>
              </w:rPr>
              <w:t>Сценарій</w:t>
            </w:r>
          </w:p>
        </w:tc>
        <w:tc>
          <w:tcPr>
            <w:tcW w:type="dxa" w:w="1247"/>
          </w:tcPr>
          <w:p>
            <w:pPr>
              <w:jc w:val="left"/>
            </w:pPr>
            <w:r/>
            <w:r>
              <w:rPr>
                <w:rFonts w:ascii="Arial" w:hAnsi="Arial" w:eastAsia="Arial"/>
                <w:b/>
                <w:i w:val="0"/>
                <w:color w:val="000000"/>
                <w:sz w:val="20"/>
              </w:rPr>
              <w:t>Базова оцінка країни 2035</w:t>
            </w:r>
          </w:p>
        </w:tc>
        <w:tc>
          <w:tcPr>
            <w:tcW w:type="dxa" w:w="1247"/>
          </w:tcPr>
          <w:p>
            <w:pPr>
              <w:jc w:val="left"/>
            </w:pPr>
            <w:r/>
            <w:r>
              <w:rPr>
                <w:rFonts w:ascii="Arial" w:hAnsi="Arial" w:eastAsia="Arial"/>
                <w:b/>
                <w:i w:val="0"/>
                <w:color w:val="000000"/>
                <w:sz w:val="20"/>
              </w:rPr>
              <w:t>Агрегований ризик</w:t>
            </w:r>
          </w:p>
        </w:tc>
        <w:tc>
          <w:tcPr>
            <w:tcW w:type="dxa" w:w="1247"/>
          </w:tcPr>
          <w:p>
            <w:pPr>
              <w:jc w:val="left"/>
            </w:pPr>
            <w:r/>
            <w:r>
              <w:rPr>
                <w:rFonts w:ascii="Arial" w:hAnsi="Arial" w:eastAsia="Arial"/>
                <w:b/>
                <w:i w:val="0"/>
                <w:color w:val="000000"/>
                <w:sz w:val="20"/>
              </w:rPr>
              <w:t>Коефіцієнт штрафу</w:t>
            </w:r>
          </w:p>
        </w:tc>
        <w:tc>
          <w:tcPr>
            <w:tcW w:type="dxa" w:w="1247"/>
          </w:tcPr>
          <w:p>
            <w:pPr>
              <w:jc w:val="left"/>
            </w:pPr>
            <w:r/>
            <w:r>
              <w:rPr>
                <w:rFonts w:ascii="Arial" w:hAnsi="Arial" w:eastAsia="Arial"/>
                <w:b/>
                <w:i w:val="0"/>
                <w:color w:val="000000"/>
                <w:sz w:val="20"/>
              </w:rPr>
              <w:t>Оцінка з поправкою</w:t>
            </w:r>
          </w:p>
        </w:tc>
        <w:tc>
          <w:tcPr>
            <w:tcW w:type="dxa" w:w="1247"/>
          </w:tcPr>
          <w:p>
            <w:pPr>
              <w:jc w:val="left"/>
            </w:pPr>
            <w:r/>
            <w:r>
              <w:rPr>
                <w:rFonts w:ascii="Arial" w:hAnsi="Arial" w:eastAsia="Arial"/>
                <w:b/>
                <w:i w:val="0"/>
                <w:color w:val="000000"/>
                <w:sz w:val="20"/>
              </w:rPr>
              <w:t>Смуга</w:t>
            </w:r>
          </w:p>
        </w:tc>
        <w:tc>
          <w:tcPr>
            <w:tcW w:type="dxa" w:w="1247"/>
          </w:tcPr>
          <w:p>
            <w:pPr>
              <w:jc w:val="left"/>
            </w:pPr>
            <w:r/>
            <w:r>
              <w:rPr>
                <w:rFonts w:ascii="Arial" w:hAnsi="Arial" w:eastAsia="Arial"/>
                <w:b/>
                <w:i w:val="0"/>
                <w:color w:val="000000"/>
                <w:sz w:val="20"/>
              </w:rPr>
              <w:t>Домінантні канали</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Шоковий</w:t>
            </w:r>
          </w:p>
        </w:tc>
        <w:tc>
          <w:tcPr>
            <w:tcW w:type="dxa" w:w="1247"/>
          </w:tcPr>
          <w:p>
            <w:pPr>
              <w:jc w:val="left"/>
            </w:pPr>
            <w:r/>
            <w:r>
              <w:rPr>
                <w:rFonts w:ascii="Arial" w:hAnsi="Arial" w:eastAsia="Arial"/>
                <w:b w:val="0"/>
                <w:i w:val="0"/>
                <w:color w:val="000000"/>
                <w:sz w:val="20"/>
              </w:rPr>
              <w:t>48.1</w:t>
            </w:r>
          </w:p>
        </w:tc>
        <w:tc>
          <w:tcPr>
            <w:tcW w:type="dxa" w:w="1247"/>
          </w:tcPr>
          <w:p>
            <w:pPr>
              <w:jc w:val="left"/>
            </w:pPr>
            <w:r/>
            <w:r>
              <w:rPr>
                <w:rFonts w:ascii="Arial" w:hAnsi="Arial" w:eastAsia="Arial"/>
                <w:b w:val="0"/>
                <w:i w:val="0"/>
                <w:color w:val="000000"/>
                <w:sz w:val="20"/>
              </w:rPr>
              <w:t>28.2</w:t>
            </w:r>
          </w:p>
        </w:tc>
        <w:tc>
          <w:tcPr>
            <w:tcW w:type="dxa" w:w="1247"/>
          </w:tcPr>
          <w:p>
            <w:pPr>
              <w:jc w:val="left"/>
            </w:pPr>
            <w:r/>
            <w:r>
              <w:rPr>
                <w:rFonts w:ascii="Arial" w:hAnsi="Arial" w:eastAsia="Arial"/>
                <w:b w:val="0"/>
                <w:i w:val="0"/>
                <w:color w:val="000000"/>
                <w:sz w:val="20"/>
              </w:rPr>
              <w:t>0,25</w:t>
            </w:r>
          </w:p>
        </w:tc>
        <w:tc>
          <w:tcPr>
            <w:tcW w:type="dxa" w:w="1247"/>
          </w:tcPr>
          <w:p>
            <w:pPr>
              <w:jc w:val="left"/>
            </w:pPr>
            <w:r/>
            <w:r>
              <w:rPr>
                <w:rFonts w:ascii="Arial" w:hAnsi="Arial" w:eastAsia="Arial"/>
                <w:b w:val="0"/>
                <w:i w:val="0"/>
                <w:color w:val="000000"/>
                <w:sz w:val="20"/>
              </w:rPr>
              <w:t>41.1</w:t>
            </w:r>
          </w:p>
        </w:tc>
        <w:tc>
          <w:tcPr>
            <w:tcW w:type="dxa" w:w="1247"/>
          </w:tcPr>
          <w:p>
            <w:pPr>
              <w:jc w:val="left"/>
            </w:pPr>
            <w:r/>
            <w:r>
              <w:rPr>
                <w:rFonts w:ascii="Arial" w:hAnsi="Arial" w:eastAsia="Arial"/>
                <w:b w:val="0"/>
                <w:i w:val="0"/>
                <w:color w:val="000000"/>
                <w:sz w:val="20"/>
              </w:rPr>
              <w:t>Жовтий</w:t>
            </w:r>
          </w:p>
        </w:tc>
        <w:tc>
          <w:tcPr>
            <w:tcW w:type="dxa" w:w="1247"/>
          </w:tcPr>
          <w:p>
            <w:pPr>
              <w:jc w:val="left"/>
            </w:pPr>
            <w:r/>
            <w:r>
              <w:rPr>
                <w:rFonts w:ascii="Arial" w:hAnsi="Arial" w:eastAsia="Arial"/>
                <w:b w:val="0"/>
                <w:i w:val="0"/>
                <w:color w:val="000000"/>
                <w:sz w:val="20"/>
              </w:rPr>
              <w:t>безпека; енергія; фінанси; логістика</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Інерційний</w:t>
            </w:r>
          </w:p>
        </w:tc>
        <w:tc>
          <w:tcPr>
            <w:tcW w:type="dxa" w:w="1247"/>
          </w:tcPr>
          <w:p>
            <w:pPr>
              <w:jc w:val="left"/>
            </w:pPr>
            <w:r/>
            <w:r>
              <w:rPr>
                <w:rFonts w:ascii="Arial" w:hAnsi="Arial" w:eastAsia="Arial"/>
                <w:b w:val="0"/>
                <w:i w:val="0"/>
                <w:color w:val="000000"/>
                <w:sz w:val="20"/>
              </w:rPr>
              <w:t>65.1</w:t>
            </w:r>
          </w:p>
        </w:tc>
        <w:tc>
          <w:tcPr>
            <w:tcW w:type="dxa" w:w="1247"/>
          </w:tcPr>
          <w:p>
            <w:pPr>
              <w:jc w:val="left"/>
            </w:pPr>
            <w:r/>
            <w:r>
              <w:rPr>
                <w:rFonts w:ascii="Arial" w:hAnsi="Arial" w:eastAsia="Arial"/>
                <w:b w:val="0"/>
                <w:i w:val="0"/>
                <w:color w:val="000000"/>
                <w:sz w:val="20"/>
              </w:rPr>
              <w:t>13.6</w:t>
            </w:r>
          </w:p>
        </w:tc>
        <w:tc>
          <w:tcPr>
            <w:tcW w:type="dxa" w:w="1247"/>
          </w:tcPr>
          <w:p>
            <w:pPr>
              <w:jc w:val="left"/>
            </w:pPr>
            <w:r/>
            <w:r>
              <w:rPr>
                <w:rFonts w:ascii="Arial" w:hAnsi="Arial" w:eastAsia="Arial"/>
                <w:b w:val="0"/>
                <w:i w:val="0"/>
                <w:color w:val="000000"/>
                <w:sz w:val="20"/>
              </w:rPr>
              <w:t>0,25</w:t>
            </w:r>
          </w:p>
        </w:tc>
        <w:tc>
          <w:tcPr>
            <w:tcW w:type="dxa" w:w="1247"/>
          </w:tcPr>
          <w:p>
            <w:pPr>
              <w:jc w:val="left"/>
            </w:pPr>
            <w:r/>
            <w:r>
              <w:rPr>
                <w:rFonts w:ascii="Arial" w:hAnsi="Arial" w:eastAsia="Arial"/>
                <w:b w:val="0"/>
                <w:i w:val="0"/>
                <w:color w:val="000000"/>
                <w:sz w:val="20"/>
              </w:rPr>
              <w:t>61.7</w:t>
            </w:r>
          </w:p>
        </w:tc>
        <w:tc>
          <w:tcPr>
            <w:tcW w:type="dxa" w:w="1247"/>
          </w:tcPr>
          <w:p>
            <w:pPr>
              <w:jc w:val="left"/>
            </w:pPr>
            <w:r/>
            <w:r>
              <w:rPr>
                <w:rFonts w:ascii="Arial" w:hAnsi="Arial" w:eastAsia="Arial"/>
                <w:b w:val="0"/>
                <w:i w:val="0"/>
                <w:color w:val="000000"/>
                <w:sz w:val="20"/>
              </w:rPr>
              <w:t>Зелений</w:t>
            </w:r>
          </w:p>
        </w:tc>
        <w:tc>
          <w:tcPr>
            <w:tcW w:type="dxa" w:w="1247"/>
          </w:tcPr>
          <w:p>
            <w:pPr>
              <w:jc w:val="left"/>
            </w:pPr>
            <w:r/>
            <w:r>
              <w:rPr>
                <w:rFonts w:ascii="Arial" w:hAnsi="Arial" w:eastAsia="Arial"/>
                <w:b w:val="0"/>
                <w:i w:val="0"/>
                <w:color w:val="000000"/>
                <w:sz w:val="20"/>
              </w:rPr>
              <w:t>енергія; фінансування; кадри; проєктна готовність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Трансформаційний</w:t>
            </w:r>
          </w:p>
        </w:tc>
        <w:tc>
          <w:tcPr>
            <w:tcW w:type="dxa" w:w="1247"/>
          </w:tcPr>
          <w:p>
            <w:pPr>
              <w:jc w:val="left"/>
            </w:pPr>
            <w:r/>
            <w:r>
              <w:rPr>
                <w:rFonts w:ascii="Arial" w:hAnsi="Arial" w:eastAsia="Arial"/>
                <w:b w:val="0"/>
                <w:i w:val="0"/>
                <w:color w:val="000000"/>
                <w:sz w:val="20"/>
              </w:rPr>
              <w:t>86.2</w:t>
            </w:r>
          </w:p>
        </w:tc>
        <w:tc>
          <w:tcPr>
            <w:tcW w:type="dxa" w:w="1247"/>
          </w:tcPr>
          <w:p>
            <w:pPr>
              <w:jc w:val="left"/>
            </w:pPr>
            <w:r/>
            <w:r>
              <w:rPr>
                <w:rFonts w:ascii="Arial" w:hAnsi="Arial" w:eastAsia="Arial"/>
                <w:b w:val="0"/>
                <w:i w:val="0"/>
                <w:color w:val="000000"/>
                <w:sz w:val="20"/>
              </w:rPr>
              <w:t>4.9</w:t>
            </w:r>
          </w:p>
        </w:tc>
        <w:tc>
          <w:tcPr>
            <w:tcW w:type="dxa" w:w="1247"/>
          </w:tcPr>
          <w:p>
            <w:pPr>
              <w:jc w:val="left"/>
            </w:pPr>
            <w:r/>
            <w:r>
              <w:rPr>
                <w:rFonts w:ascii="Arial" w:hAnsi="Arial" w:eastAsia="Arial"/>
                <w:b w:val="0"/>
                <w:i w:val="0"/>
                <w:color w:val="000000"/>
                <w:sz w:val="20"/>
              </w:rPr>
              <w:t>0,25</w:t>
            </w:r>
          </w:p>
        </w:tc>
        <w:tc>
          <w:tcPr>
            <w:tcW w:type="dxa" w:w="1247"/>
          </w:tcPr>
          <w:p>
            <w:pPr>
              <w:jc w:val="left"/>
            </w:pPr>
            <w:r/>
            <w:r>
              <w:rPr>
                <w:rFonts w:ascii="Arial" w:hAnsi="Arial" w:eastAsia="Arial"/>
                <w:b w:val="0"/>
                <w:i w:val="0"/>
                <w:color w:val="000000"/>
                <w:sz w:val="20"/>
              </w:rPr>
              <w:t>85.0</w:t>
            </w:r>
          </w:p>
        </w:tc>
        <w:tc>
          <w:tcPr>
            <w:tcW w:type="dxa" w:w="1247"/>
          </w:tcPr>
          <w:p>
            <w:pPr>
              <w:jc w:val="left"/>
            </w:pPr>
            <w:r/>
            <w:r>
              <w:rPr>
                <w:rFonts w:ascii="Arial" w:hAnsi="Arial" w:eastAsia="Arial"/>
                <w:b w:val="0"/>
                <w:i w:val="0"/>
                <w:color w:val="000000"/>
                <w:sz w:val="20"/>
              </w:rPr>
              <w:t>Зелений</w:t>
            </w:r>
          </w:p>
        </w:tc>
        <w:tc>
          <w:tcPr>
            <w:tcW w:type="dxa" w:w="1247"/>
          </w:tcPr>
          <w:p>
            <w:pPr>
              <w:jc w:val="left"/>
            </w:pPr>
            <w:r/>
            <w:r>
              <w:rPr>
                <w:rFonts w:ascii="Arial" w:hAnsi="Arial" w:eastAsia="Arial"/>
                <w:b w:val="0"/>
                <w:i w:val="0"/>
                <w:color w:val="000000"/>
                <w:sz w:val="20"/>
              </w:rPr>
              <w:t>CBAM; кадри; логістика; source integrity</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Критичні ризики: порогова логіка замість риторичного ранжування</w:t>
      </w:r>
    </w:p>
    <w:p>
      <w:pPr>
        <w:jc w:val="both"/>
      </w:pPr>
      <w:r>
        <w:rPr>
          <w:rFonts w:ascii="Arial" w:hAnsi="Arial" w:eastAsia="Arial"/>
          <w:b w:val="0"/>
          <w:i w:val="0"/>
          <w:color w:val="000000"/>
          <w:sz w:val="24"/>
        </w:rPr>
        <w:t>Критичний ризик у цьому блоці не визначається емоційною інтенсивністю назви. [1] Він визначається порогом: score не нижче 30 у будь-якій траєкторії або поєднанням дуже високого impact, дуже високої cascade і істотного preparedness gap. Такий підхід відповідає логіці критичних ризиків як подій зі стратегічним впливом, а також practical threshold thinking у government risk management.</w:t>
      </w:r>
    </w:p>
    <w:tbl>
      <w:tblPr>
        <w:tblStyle w:val="TableGrid"/>
        <w:tblW w:type="auto" w:w="0"/>
        <w:jc w:val="left"/>
        <w:tblLayout w:type="fixed"/>
        <w:tblLook w:firstColumn="1" w:firstRow="1" w:lastColumn="0" w:lastRow="0" w:noHBand="0" w:noVBand="1" w:val="04A0"/>
      </w:tblPr>
      <w:tblGrid>
        <w:gridCol w:w="1392"/>
        <w:gridCol w:w="1392"/>
        <w:gridCol w:w="1392"/>
        <w:gridCol w:w="1392"/>
        <w:gridCol w:w="1392"/>
        <w:gridCol w:w="1392"/>
        <w:gridCol w:w="1392"/>
      </w:tblGrid>
      <w:tr>
        <w:tc>
          <w:tcPr>
            <w:tcW w:type="dxa" w:w="2041"/>
          </w:tcPr>
          <w:p>
            <w:pPr>
              <w:jc w:val="left"/>
            </w:pPr>
            <w:r/>
            <w:r>
              <w:rPr>
                <w:rFonts w:ascii="Arial" w:hAnsi="Arial" w:eastAsia="Arial"/>
                <w:b/>
                <w:i w:val="0"/>
                <w:color w:val="000000"/>
                <w:sz w:val="20"/>
              </w:rPr>
              <w:t>ID</w:t>
            </w:r>
          </w:p>
        </w:tc>
        <w:tc>
          <w:tcPr>
            <w:tcW w:type="dxa" w:w="1247"/>
          </w:tcPr>
          <w:p>
            <w:pPr>
              <w:jc w:val="left"/>
            </w:pPr>
            <w:r/>
            <w:r>
              <w:rPr>
                <w:rFonts w:ascii="Arial" w:hAnsi="Arial" w:eastAsia="Arial"/>
                <w:b/>
                <w:i w:val="0"/>
                <w:color w:val="000000"/>
                <w:sz w:val="20"/>
              </w:rPr>
              <w:t>Ризик</w:t>
            </w:r>
          </w:p>
        </w:tc>
        <w:tc>
          <w:tcPr>
            <w:tcW w:type="dxa" w:w="1247"/>
          </w:tcPr>
          <w:p>
            <w:pPr>
              <w:jc w:val="left"/>
            </w:pPr>
            <w:r/>
            <w:r>
              <w:rPr>
                <w:rFonts w:ascii="Arial" w:hAnsi="Arial" w:eastAsia="Arial"/>
                <w:b/>
                <w:i w:val="0"/>
                <w:color w:val="000000"/>
                <w:sz w:val="20"/>
              </w:rPr>
              <w:t>Максимальний score</w:t>
            </w:r>
          </w:p>
        </w:tc>
        <w:tc>
          <w:tcPr>
            <w:tcW w:type="dxa" w:w="1247"/>
          </w:tcPr>
          <w:p>
            <w:pPr>
              <w:jc w:val="left"/>
            </w:pPr>
            <w:r/>
            <w:r>
              <w:rPr>
                <w:rFonts w:ascii="Arial" w:hAnsi="Arial" w:eastAsia="Arial"/>
                <w:b/>
                <w:i w:val="0"/>
                <w:color w:val="000000"/>
                <w:sz w:val="20"/>
              </w:rPr>
              <w:t>Стан</w:t>
            </w:r>
          </w:p>
        </w:tc>
        <w:tc>
          <w:tcPr>
            <w:tcW w:type="dxa" w:w="1247"/>
          </w:tcPr>
          <w:p>
            <w:pPr>
              <w:jc w:val="left"/>
            </w:pPr>
            <w:r/>
            <w:r>
              <w:rPr>
                <w:rFonts w:ascii="Arial" w:hAnsi="Arial" w:eastAsia="Arial"/>
                <w:b/>
                <w:i w:val="0"/>
                <w:color w:val="000000"/>
                <w:sz w:val="20"/>
              </w:rPr>
              <w:t>Порогова логіка</w:t>
            </w:r>
          </w:p>
        </w:tc>
        <w:tc>
          <w:tcPr>
            <w:tcW w:type="dxa" w:w="1247"/>
          </w:tcPr>
          <w:p>
            <w:pPr>
              <w:jc w:val="left"/>
            </w:pPr>
            <w:r/>
            <w:r>
              <w:rPr>
                <w:rFonts w:ascii="Arial" w:hAnsi="Arial" w:eastAsia="Arial"/>
                <w:b/>
                <w:i w:val="0"/>
                <w:color w:val="000000"/>
                <w:sz w:val="20"/>
              </w:rPr>
              <w:t>Дія</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R01</w:t>
            </w:r>
          </w:p>
        </w:tc>
        <w:tc>
          <w:tcPr>
            <w:tcW w:type="dxa" w:w="1247"/>
          </w:tcPr>
          <w:p>
            <w:pPr>
              <w:jc w:val="left"/>
            </w:pPr>
            <w:r/>
            <w:r>
              <w:rPr>
                <w:rFonts w:ascii="Arial" w:hAnsi="Arial" w:eastAsia="Arial"/>
                <w:b w:val="0"/>
                <w:i w:val="0"/>
                <w:color w:val="000000"/>
                <w:sz w:val="20"/>
              </w:rPr>
              <w:t>Безпекова ескалація</w:t>
            </w:r>
          </w:p>
        </w:tc>
        <w:tc>
          <w:tcPr>
            <w:tcW w:type="dxa" w:w="1247"/>
          </w:tcPr>
          <w:p>
            <w:pPr>
              <w:jc w:val="left"/>
            </w:pPr>
            <w:r/>
            <w:r>
              <w:rPr>
                <w:rFonts w:ascii="Arial" w:hAnsi="Arial" w:eastAsia="Arial"/>
                <w:b w:val="0"/>
                <w:i w:val="0"/>
                <w:color w:val="000000"/>
                <w:sz w:val="20"/>
              </w:rPr>
              <w:t>52.5</w:t>
            </w:r>
          </w:p>
        </w:tc>
        <w:tc>
          <w:tcPr>
            <w:tcW w:type="dxa" w:w="1247"/>
          </w:tcPr>
          <w:p>
            <w:pPr>
              <w:jc w:val="left"/>
            </w:pPr>
            <w:r/>
            <w:r>
              <w:rPr>
                <w:rFonts w:ascii="Arial" w:hAnsi="Arial" w:eastAsia="Arial"/>
                <w:b w:val="0"/>
                <w:i w:val="0"/>
                <w:color w:val="000000"/>
                <w:sz w:val="20"/>
              </w:rPr>
              <w:t>Критичний</w:t>
            </w:r>
          </w:p>
        </w:tc>
        <w:tc>
          <w:tcPr>
            <w:tcW w:type="dxa" w:w="1247"/>
          </w:tcPr>
          <w:p>
            <w:pPr>
              <w:jc w:val="left"/>
            </w:pPr>
            <w:r/>
            <w:r>
              <w:rPr>
                <w:rFonts w:ascii="Arial" w:hAnsi="Arial" w:eastAsia="Arial"/>
                <w:b w:val="0"/>
                <w:i w:val="0"/>
                <w:color w:val="000000"/>
                <w:sz w:val="20"/>
              </w:rPr>
              <w:t>score ≥ 30</w:t>
            </w:r>
          </w:p>
        </w:tc>
        <w:tc>
          <w:tcPr>
            <w:tcW w:type="dxa" w:w="1247"/>
          </w:tcPr>
          <w:p>
            <w:pPr>
              <w:jc w:val="left"/>
            </w:pPr>
            <w:r/>
            <w:r>
              <w:rPr>
                <w:rFonts w:ascii="Arial" w:hAnsi="Arial" w:eastAsia="Arial"/>
                <w:b w:val="0"/>
                <w:i w:val="0"/>
                <w:color w:val="000000"/>
                <w:sz w:val="20"/>
              </w:rPr>
              <w:t>негайний safeguard package</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R02</w:t>
            </w:r>
          </w:p>
        </w:tc>
        <w:tc>
          <w:tcPr>
            <w:tcW w:type="dxa" w:w="1247"/>
          </w:tcPr>
          <w:p>
            <w:pPr>
              <w:jc w:val="left"/>
            </w:pPr>
            <w:r/>
            <w:r>
              <w:rPr>
                <w:rFonts w:ascii="Arial" w:hAnsi="Arial" w:eastAsia="Arial"/>
                <w:b w:val="0"/>
                <w:i w:val="0"/>
                <w:color w:val="000000"/>
                <w:sz w:val="20"/>
              </w:rPr>
              <w:t>Енергетичний дефіцит</w:t>
            </w:r>
          </w:p>
        </w:tc>
        <w:tc>
          <w:tcPr>
            <w:tcW w:type="dxa" w:w="1247"/>
          </w:tcPr>
          <w:p>
            <w:pPr>
              <w:jc w:val="left"/>
            </w:pPr>
            <w:r/>
            <w:r>
              <w:rPr>
                <w:rFonts w:ascii="Arial" w:hAnsi="Arial" w:eastAsia="Arial"/>
                <w:b w:val="0"/>
                <w:i w:val="0"/>
                <w:color w:val="000000"/>
                <w:sz w:val="20"/>
              </w:rPr>
              <w:t>45.5</w:t>
            </w:r>
          </w:p>
        </w:tc>
        <w:tc>
          <w:tcPr>
            <w:tcW w:type="dxa" w:w="1247"/>
          </w:tcPr>
          <w:p>
            <w:pPr>
              <w:jc w:val="left"/>
            </w:pPr>
            <w:r/>
            <w:r>
              <w:rPr>
                <w:rFonts w:ascii="Arial" w:hAnsi="Arial" w:eastAsia="Arial"/>
                <w:b w:val="0"/>
                <w:i w:val="0"/>
                <w:color w:val="000000"/>
                <w:sz w:val="20"/>
              </w:rPr>
              <w:t>Критичний</w:t>
            </w:r>
          </w:p>
        </w:tc>
        <w:tc>
          <w:tcPr>
            <w:tcW w:type="dxa" w:w="1247"/>
          </w:tcPr>
          <w:p>
            <w:pPr>
              <w:jc w:val="left"/>
            </w:pPr>
            <w:r/>
            <w:r>
              <w:rPr>
                <w:rFonts w:ascii="Arial" w:hAnsi="Arial" w:eastAsia="Arial"/>
                <w:b w:val="0"/>
                <w:i w:val="0"/>
                <w:color w:val="000000"/>
                <w:sz w:val="20"/>
              </w:rPr>
              <w:t>score ≥ 30</w:t>
            </w:r>
          </w:p>
        </w:tc>
        <w:tc>
          <w:tcPr>
            <w:tcW w:type="dxa" w:w="1247"/>
          </w:tcPr>
          <w:p>
            <w:pPr>
              <w:jc w:val="left"/>
            </w:pPr>
            <w:r/>
            <w:r>
              <w:rPr>
                <w:rFonts w:ascii="Arial" w:hAnsi="Arial" w:eastAsia="Arial"/>
                <w:b w:val="0"/>
                <w:i w:val="0"/>
                <w:color w:val="000000"/>
                <w:sz w:val="20"/>
              </w:rPr>
              <w:t>негайний safeguard package</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R03</w:t>
            </w:r>
          </w:p>
        </w:tc>
        <w:tc>
          <w:tcPr>
            <w:tcW w:type="dxa" w:w="1247"/>
          </w:tcPr>
          <w:p>
            <w:pPr>
              <w:jc w:val="left"/>
            </w:pPr>
            <w:r/>
            <w:r>
              <w:rPr>
                <w:rFonts w:ascii="Arial" w:hAnsi="Arial" w:eastAsia="Arial"/>
                <w:b w:val="0"/>
                <w:i w:val="0"/>
                <w:color w:val="000000"/>
                <w:sz w:val="20"/>
              </w:rPr>
              <w:t>Затримка зовнішнього фінансування</w:t>
            </w:r>
          </w:p>
        </w:tc>
        <w:tc>
          <w:tcPr>
            <w:tcW w:type="dxa" w:w="1247"/>
          </w:tcPr>
          <w:p>
            <w:pPr>
              <w:jc w:val="left"/>
            </w:pPr>
            <w:r/>
            <w:r>
              <w:rPr>
                <w:rFonts w:ascii="Arial" w:hAnsi="Arial" w:eastAsia="Arial"/>
                <w:b w:val="0"/>
                <w:i w:val="0"/>
                <w:color w:val="000000"/>
                <w:sz w:val="20"/>
              </w:rPr>
              <w:t>28.6</w:t>
            </w:r>
          </w:p>
        </w:tc>
        <w:tc>
          <w:tcPr>
            <w:tcW w:type="dxa" w:w="1247"/>
          </w:tcPr>
          <w:p>
            <w:pPr>
              <w:jc w:val="left"/>
            </w:pPr>
            <w:r/>
            <w:r>
              <w:rPr>
                <w:rFonts w:ascii="Arial" w:hAnsi="Arial" w:eastAsia="Arial"/>
                <w:b w:val="0"/>
                <w:i w:val="0"/>
                <w:color w:val="000000"/>
                <w:sz w:val="20"/>
              </w:rPr>
              <w:t>Підвищений</w:t>
            </w:r>
          </w:p>
        </w:tc>
        <w:tc>
          <w:tcPr>
            <w:tcW w:type="dxa" w:w="1247"/>
          </w:tcPr>
          <w:p>
            <w:pPr>
              <w:jc w:val="left"/>
            </w:pPr>
            <w:r/>
            <w:r>
              <w:rPr>
                <w:rFonts w:ascii="Arial" w:hAnsi="Arial" w:eastAsia="Arial"/>
                <w:b w:val="0"/>
                <w:i w:val="0"/>
                <w:color w:val="000000"/>
                <w:sz w:val="20"/>
              </w:rPr>
              <w:t>impact/cascade високі, але score нижчий за критичний поріг</w:t>
            </w:r>
          </w:p>
        </w:tc>
        <w:tc>
          <w:tcPr>
            <w:tcW w:type="dxa" w:w="1247"/>
          </w:tcPr>
          <w:p>
            <w:pPr>
              <w:jc w:val="left"/>
            </w:pPr>
            <w:r/>
            <w:r>
              <w:rPr>
                <w:rFonts w:ascii="Arial" w:hAnsi="Arial" w:eastAsia="Arial"/>
                <w:b w:val="0"/>
                <w:i w:val="0"/>
                <w:color w:val="000000"/>
                <w:sz w:val="20"/>
              </w:rPr>
              <w:t>цільовий запобіжник</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R04</w:t>
            </w:r>
          </w:p>
        </w:tc>
        <w:tc>
          <w:tcPr>
            <w:tcW w:type="dxa" w:w="1247"/>
          </w:tcPr>
          <w:p>
            <w:pPr>
              <w:jc w:val="left"/>
            </w:pPr>
            <w:r/>
            <w:r>
              <w:rPr>
                <w:rFonts w:ascii="Arial" w:hAnsi="Arial" w:eastAsia="Arial"/>
                <w:b w:val="0"/>
                <w:i w:val="0"/>
                <w:color w:val="000000"/>
                <w:sz w:val="20"/>
              </w:rPr>
              <w:t>Логістичний розрив</w:t>
            </w:r>
          </w:p>
        </w:tc>
        <w:tc>
          <w:tcPr>
            <w:tcW w:type="dxa" w:w="1247"/>
          </w:tcPr>
          <w:p>
            <w:pPr>
              <w:jc w:val="left"/>
            </w:pPr>
            <w:r/>
            <w:r>
              <w:rPr>
                <w:rFonts w:ascii="Arial" w:hAnsi="Arial" w:eastAsia="Arial"/>
                <w:b w:val="0"/>
                <w:i w:val="0"/>
                <w:color w:val="000000"/>
                <w:sz w:val="20"/>
              </w:rPr>
              <w:t>30.8</w:t>
            </w:r>
          </w:p>
        </w:tc>
        <w:tc>
          <w:tcPr>
            <w:tcW w:type="dxa" w:w="1247"/>
          </w:tcPr>
          <w:p>
            <w:pPr>
              <w:jc w:val="left"/>
            </w:pPr>
            <w:r/>
            <w:r>
              <w:rPr>
                <w:rFonts w:ascii="Arial" w:hAnsi="Arial" w:eastAsia="Arial"/>
                <w:b w:val="0"/>
                <w:i w:val="0"/>
                <w:color w:val="000000"/>
                <w:sz w:val="20"/>
              </w:rPr>
              <w:t>Критичний</w:t>
            </w:r>
          </w:p>
        </w:tc>
        <w:tc>
          <w:tcPr>
            <w:tcW w:type="dxa" w:w="1247"/>
          </w:tcPr>
          <w:p>
            <w:pPr>
              <w:jc w:val="left"/>
            </w:pPr>
            <w:r/>
            <w:r>
              <w:rPr>
                <w:rFonts w:ascii="Arial" w:hAnsi="Arial" w:eastAsia="Arial"/>
                <w:b w:val="0"/>
                <w:i w:val="0"/>
                <w:color w:val="000000"/>
                <w:sz w:val="20"/>
              </w:rPr>
              <w:t>score ≥ 30</w:t>
            </w:r>
          </w:p>
        </w:tc>
        <w:tc>
          <w:tcPr>
            <w:tcW w:type="dxa" w:w="1247"/>
          </w:tcPr>
          <w:p>
            <w:pPr>
              <w:jc w:val="left"/>
            </w:pPr>
            <w:r/>
            <w:r>
              <w:rPr>
                <w:rFonts w:ascii="Arial" w:hAnsi="Arial" w:eastAsia="Arial"/>
                <w:b w:val="0"/>
                <w:i w:val="0"/>
                <w:color w:val="000000"/>
                <w:sz w:val="20"/>
              </w:rPr>
              <w:t>негайний safeguard package</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R05</w:t>
            </w:r>
          </w:p>
        </w:tc>
        <w:tc>
          <w:tcPr>
            <w:tcW w:type="dxa" w:w="1247"/>
          </w:tcPr>
          <w:p>
            <w:pPr>
              <w:jc w:val="left"/>
            </w:pPr>
            <w:r/>
            <w:r>
              <w:rPr>
                <w:rFonts w:ascii="Arial" w:hAnsi="Arial" w:eastAsia="Arial"/>
                <w:b w:val="0"/>
                <w:i w:val="0"/>
                <w:color w:val="000000"/>
                <w:sz w:val="20"/>
              </w:rPr>
              <w:t>Брак приватних інвестицій і страхового покриття</w:t>
            </w:r>
          </w:p>
        </w:tc>
        <w:tc>
          <w:tcPr>
            <w:tcW w:type="dxa" w:w="1247"/>
          </w:tcPr>
          <w:p>
            <w:pPr>
              <w:jc w:val="left"/>
            </w:pPr>
            <w:r/>
            <w:r>
              <w:rPr>
                <w:rFonts w:ascii="Arial" w:hAnsi="Arial" w:eastAsia="Arial"/>
                <w:b w:val="0"/>
                <w:i w:val="0"/>
                <w:color w:val="000000"/>
                <w:sz w:val="20"/>
              </w:rPr>
              <w:t>28.8</w:t>
            </w:r>
          </w:p>
        </w:tc>
        <w:tc>
          <w:tcPr>
            <w:tcW w:type="dxa" w:w="1247"/>
          </w:tcPr>
          <w:p>
            <w:pPr>
              <w:jc w:val="left"/>
            </w:pPr>
            <w:r/>
            <w:r>
              <w:rPr>
                <w:rFonts w:ascii="Arial" w:hAnsi="Arial" w:eastAsia="Arial"/>
                <w:b w:val="0"/>
                <w:i w:val="0"/>
                <w:color w:val="000000"/>
                <w:sz w:val="20"/>
              </w:rPr>
              <w:t>Підвищений</w:t>
            </w:r>
          </w:p>
        </w:tc>
        <w:tc>
          <w:tcPr>
            <w:tcW w:type="dxa" w:w="1247"/>
          </w:tcPr>
          <w:p>
            <w:pPr>
              <w:jc w:val="left"/>
            </w:pPr>
            <w:r/>
            <w:r>
              <w:rPr>
                <w:rFonts w:ascii="Arial" w:hAnsi="Arial" w:eastAsia="Arial"/>
                <w:b w:val="0"/>
                <w:i w:val="0"/>
                <w:color w:val="000000"/>
                <w:sz w:val="20"/>
              </w:rPr>
              <w:t>моніторинг</w:t>
            </w:r>
          </w:p>
        </w:tc>
        <w:tc>
          <w:tcPr>
            <w:tcW w:type="dxa" w:w="1247"/>
          </w:tcPr>
          <w:p>
            <w:pPr>
              <w:jc w:val="left"/>
            </w:pPr>
            <w:r/>
            <w:r>
              <w:rPr>
                <w:rFonts w:ascii="Arial" w:hAnsi="Arial" w:eastAsia="Arial"/>
                <w:b w:val="0"/>
                <w:i w:val="0"/>
                <w:color w:val="000000"/>
                <w:sz w:val="20"/>
              </w:rPr>
              <w:t>цільовий запобіжник</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R06</w:t>
            </w:r>
          </w:p>
        </w:tc>
        <w:tc>
          <w:tcPr>
            <w:tcW w:type="dxa" w:w="1247"/>
          </w:tcPr>
          <w:p>
            <w:pPr>
              <w:jc w:val="left"/>
            </w:pPr>
            <w:r/>
            <w:r>
              <w:rPr>
                <w:rFonts w:ascii="Arial" w:hAnsi="Arial" w:eastAsia="Arial"/>
                <w:b w:val="0"/>
                <w:i w:val="0"/>
                <w:color w:val="000000"/>
                <w:sz w:val="20"/>
              </w:rPr>
              <w:t>Демографічний і кадровий відтік</w:t>
            </w:r>
          </w:p>
        </w:tc>
        <w:tc>
          <w:tcPr>
            <w:tcW w:type="dxa" w:w="1247"/>
          </w:tcPr>
          <w:p>
            <w:pPr>
              <w:jc w:val="left"/>
            </w:pPr>
            <w:r/>
            <w:r>
              <w:rPr>
                <w:rFonts w:ascii="Arial" w:hAnsi="Arial" w:eastAsia="Arial"/>
                <w:b w:val="0"/>
                <w:i w:val="0"/>
                <w:color w:val="000000"/>
                <w:sz w:val="20"/>
              </w:rPr>
              <w:t>17.3</w:t>
            </w:r>
          </w:p>
        </w:tc>
        <w:tc>
          <w:tcPr>
            <w:tcW w:type="dxa" w:w="1247"/>
          </w:tcPr>
          <w:p>
            <w:pPr>
              <w:jc w:val="left"/>
            </w:pPr>
            <w:r/>
            <w:r>
              <w:rPr>
                <w:rFonts w:ascii="Arial" w:hAnsi="Arial" w:eastAsia="Arial"/>
                <w:b w:val="0"/>
                <w:i w:val="0"/>
                <w:color w:val="000000"/>
                <w:sz w:val="20"/>
              </w:rPr>
              <w:t>Підвищений</w:t>
            </w:r>
          </w:p>
        </w:tc>
        <w:tc>
          <w:tcPr>
            <w:tcW w:type="dxa" w:w="1247"/>
          </w:tcPr>
          <w:p>
            <w:pPr>
              <w:jc w:val="left"/>
            </w:pPr>
            <w:r/>
            <w:r>
              <w:rPr>
                <w:rFonts w:ascii="Arial" w:hAnsi="Arial" w:eastAsia="Arial"/>
                <w:b w:val="0"/>
                <w:i w:val="0"/>
                <w:color w:val="000000"/>
                <w:sz w:val="20"/>
              </w:rPr>
              <w:t>моніторинг</w:t>
            </w:r>
          </w:p>
        </w:tc>
        <w:tc>
          <w:tcPr>
            <w:tcW w:type="dxa" w:w="1247"/>
          </w:tcPr>
          <w:p>
            <w:pPr>
              <w:jc w:val="left"/>
            </w:pPr>
            <w:r/>
            <w:r>
              <w:rPr>
                <w:rFonts w:ascii="Arial" w:hAnsi="Arial" w:eastAsia="Arial"/>
                <w:b w:val="0"/>
                <w:i w:val="0"/>
                <w:color w:val="000000"/>
                <w:sz w:val="20"/>
              </w:rPr>
              <w:t>цільовий запобіжник</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R07</w:t>
            </w:r>
          </w:p>
        </w:tc>
        <w:tc>
          <w:tcPr>
            <w:tcW w:type="dxa" w:w="1247"/>
          </w:tcPr>
          <w:p>
            <w:pPr>
              <w:jc w:val="left"/>
            </w:pPr>
            <w:r/>
            <w:r>
              <w:rPr>
                <w:rFonts w:ascii="Arial" w:hAnsi="Arial" w:eastAsia="Arial"/>
                <w:b w:val="0"/>
                <w:i w:val="0"/>
                <w:color w:val="000000"/>
                <w:sz w:val="20"/>
              </w:rPr>
              <w:t>Фіскально-борговий тиск</w:t>
            </w:r>
          </w:p>
        </w:tc>
        <w:tc>
          <w:tcPr>
            <w:tcW w:type="dxa" w:w="1247"/>
          </w:tcPr>
          <w:p>
            <w:pPr>
              <w:jc w:val="left"/>
            </w:pPr>
            <w:r/>
            <w:r>
              <w:rPr>
                <w:rFonts w:ascii="Arial" w:hAnsi="Arial" w:eastAsia="Arial"/>
                <w:b w:val="0"/>
                <w:i w:val="0"/>
                <w:color w:val="000000"/>
                <w:sz w:val="20"/>
              </w:rPr>
              <w:t>28.6</w:t>
            </w:r>
          </w:p>
        </w:tc>
        <w:tc>
          <w:tcPr>
            <w:tcW w:type="dxa" w:w="1247"/>
          </w:tcPr>
          <w:p>
            <w:pPr>
              <w:jc w:val="left"/>
            </w:pPr>
            <w:r/>
            <w:r>
              <w:rPr>
                <w:rFonts w:ascii="Arial" w:hAnsi="Arial" w:eastAsia="Arial"/>
                <w:b w:val="0"/>
                <w:i w:val="0"/>
                <w:color w:val="000000"/>
                <w:sz w:val="20"/>
              </w:rPr>
              <w:t>Підвищений</w:t>
            </w:r>
          </w:p>
        </w:tc>
        <w:tc>
          <w:tcPr>
            <w:tcW w:type="dxa" w:w="1247"/>
          </w:tcPr>
          <w:p>
            <w:pPr>
              <w:jc w:val="left"/>
            </w:pPr>
            <w:r/>
            <w:r>
              <w:rPr>
                <w:rFonts w:ascii="Arial" w:hAnsi="Arial" w:eastAsia="Arial"/>
                <w:b w:val="0"/>
                <w:i w:val="0"/>
                <w:color w:val="000000"/>
                <w:sz w:val="20"/>
              </w:rPr>
              <w:t>impact/cascade високі, але score нижчий за критичний поріг</w:t>
            </w:r>
          </w:p>
        </w:tc>
        <w:tc>
          <w:tcPr>
            <w:tcW w:type="dxa" w:w="1247"/>
          </w:tcPr>
          <w:p>
            <w:pPr>
              <w:jc w:val="left"/>
            </w:pPr>
            <w:r/>
            <w:r>
              <w:rPr>
                <w:rFonts w:ascii="Arial" w:hAnsi="Arial" w:eastAsia="Arial"/>
                <w:b w:val="0"/>
                <w:i w:val="0"/>
                <w:color w:val="000000"/>
                <w:sz w:val="20"/>
              </w:rPr>
              <w:t>цільовий запобіжник</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R08</w:t>
            </w:r>
          </w:p>
        </w:tc>
        <w:tc>
          <w:tcPr>
            <w:tcW w:type="dxa" w:w="1247"/>
          </w:tcPr>
          <w:p>
            <w:pPr>
              <w:jc w:val="left"/>
            </w:pPr>
            <w:r/>
            <w:r>
              <w:rPr>
                <w:rFonts w:ascii="Arial" w:hAnsi="Arial" w:eastAsia="Arial"/>
                <w:b w:val="0"/>
                <w:i w:val="0"/>
                <w:color w:val="000000"/>
                <w:sz w:val="20"/>
              </w:rPr>
              <w:t>Технологічне відставання і проєктна готовність</w:t>
            </w:r>
          </w:p>
        </w:tc>
        <w:tc>
          <w:tcPr>
            <w:tcW w:type="dxa" w:w="1247"/>
          </w:tcPr>
          <w:p>
            <w:pPr>
              <w:jc w:val="left"/>
            </w:pPr>
            <w:r/>
            <w:r>
              <w:rPr>
                <w:rFonts w:ascii="Arial" w:hAnsi="Arial" w:eastAsia="Arial"/>
                <w:b w:val="0"/>
                <w:i w:val="0"/>
                <w:color w:val="000000"/>
                <w:sz w:val="20"/>
              </w:rPr>
              <w:t>19.2</w:t>
            </w:r>
          </w:p>
        </w:tc>
        <w:tc>
          <w:tcPr>
            <w:tcW w:type="dxa" w:w="1247"/>
          </w:tcPr>
          <w:p>
            <w:pPr>
              <w:jc w:val="left"/>
            </w:pPr>
            <w:r/>
            <w:r>
              <w:rPr>
                <w:rFonts w:ascii="Arial" w:hAnsi="Arial" w:eastAsia="Arial"/>
                <w:b w:val="0"/>
                <w:i w:val="0"/>
                <w:color w:val="000000"/>
                <w:sz w:val="20"/>
              </w:rPr>
              <w:t>Підвищений</w:t>
            </w:r>
          </w:p>
        </w:tc>
        <w:tc>
          <w:tcPr>
            <w:tcW w:type="dxa" w:w="1247"/>
          </w:tcPr>
          <w:p>
            <w:pPr>
              <w:jc w:val="left"/>
            </w:pPr>
            <w:r/>
            <w:r>
              <w:rPr>
                <w:rFonts w:ascii="Arial" w:hAnsi="Arial" w:eastAsia="Arial"/>
                <w:b w:val="0"/>
                <w:i w:val="0"/>
                <w:color w:val="000000"/>
                <w:sz w:val="20"/>
              </w:rPr>
              <w:t>моніторинг</w:t>
            </w:r>
          </w:p>
        </w:tc>
        <w:tc>
          <w:tcPr>
            <w:tcW w:type="dxa" w:w="1247"/>
          </w:tcPr>
          <w:p>
            <w:pPr>
              <w:jc w:val="left"/>
            </w:pPr>
            <w:r/>
            <w:r>
              <w:rPr>
                <w:rFonts w:ascii="Arial" w:hAnsi="Arial" w:eastAsia="Arial"/>
                <w:b w:val="0"/>
                <w:i w:val="0"/>
                <w:color w:val="000000"/>
                <w:sz w:val="20"/>
              </w:rPr>
              <w:t>цільовий запобіжник</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R09</w:t>
            </w:r>
          </w:p>
        </w:tc>
        <w:tc>
          <w:tcPr>
            <w:tcW w:type="dxa" w:w="1247"/>
          </w:tcPr>
          <w:p>
            <w:pPr>
              <w:jc w:val="left"/>
            </w:pPr>
            <w:r/>
            <w:r>
              <w:rPr>
                <w:rFonts w:ascii="Arial" w:hAnsi="Arial" w:eastAsia="Arial"/>
                <w:b w:val="0"/>
                <w:i w:val="0"/>
                <w:color w:val="000000"/>
                <w:sz w:val="20"/>
              </w:rPr>
              <w:t>CBAM і ризик доступу до ринків</w:t>
            </w:r>
          </w:p>
        </w:tc>
        <w:tc>
          <w:tcPr>
            <w:tcW w:type="dxa" w:w="1247"/>
          </w:tcPr>
          <w:p>
            <w:pPr>
              <w:jc w:val="left"/>
            </w:pPr>
            <w:r/>
            <w:r>
              <w:rPr>
                <w:rFonts w:ascii="Arial" w:hAnsi="Arial" w:eastAsia="Arial"/>
                <w:b w:val="0"/>
                <w:i w:val="0"/>
                <w:color w:val="000000"/>
                <w:sz w:val="20"/>
              </w:rPr>
              <w:t>11.5</w:t>
            </w:r>
          </w:p>
        </w:tc>
        <w:tc>
          <w:tcPr>
            <w:tcW w:type="dxa" w:w="1247"/>
          </w:tcPr>
          <w:p>
            <w:pPr>
              <w:jc w:val="left"/>
            </w:pPr>
            <w:r/>
            <w:r>
              <w:rPr>
                <w:rFonts w:ascii="Arial" w:hAnsi="Arial" w:eastAsia="Arial"/>
                <w:b w:val="0"/>
                <w:i w:val="0"/>
                <w:color w:val="000000"/>
                <w:sz w:val="20"/>
              </w:rPr>
              <w:t>Контрольний</w:t>
            </w:r>
          </w:p>
        </w:tc>
        <w:tc>
          <w:tcPr>
            <w:tcW w:type="dxa" w:w="1247"/>
          </w:tcPr>
          <w:p>
            <w:pPr>
              <w:jc w:val="left"/>
            </w:pPr>
            <w:r/>
            <w:r>
              <w:rPr>
                <w:rFonts w:ascii="Arial" w:hAnsi="Arial" w:eastAsia="Arial"/>
                <w:b w:val="0"/>
                <w:i w:val="0"/>
                <w:color w:val="000000"/>
                <w:sz w:val="20"/>
              </w:rPr>
              <w:t>моніторинг</w:t>
            </w:r>
          </w:p>
        </w:tc>
        <w:tc>
          <w:tcPr>
            <w:tcW w:type="dxa" w:w="1247"/>
          </w:tcPr>
          <w:p>
            <w:pPr>
              <w:jc w:val="left"/>
            </w:pPr>
            <w:r/>
            <w:r>
              <w:rPr>
                <w:rFonts w:ascii="Arial" w:hAnsi="Arial" w:eastAsia="Arial"/>
                <w:b w:val="0"/>
                <w:i w:val="0"/>
                <w:color w:val="000000"/>
                <w:sz w:val="20"/>
              </w:rPr>
              <w:t>моніторинг і source audit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R10</w:t>
            </w:r>
          </w:p>
        </w:tc>
        <w:tc>
          <w:tcPr>
            <w:tcW w:type="dxa" w:w="1247"/>
          </w:tcPr>
          <w:p>
            <w:pPr>
              <w:jc w:val="left"/>
            </w:pPr>
            <w:r/>
            <w:r>
              <w:rPr>
                <w:rFonts w:ascii="Arial" w:hAnsi="Arial" w:eastAsia="Arial"/>
                <w:b w:val="0"/>
                <w:i w:val="0"/>
                <w:color w:val="000000"/>
                <w:sz w:val="20"/>
              </w:rPr>
              <w:t>Порушення глобальних ланцюгів і ринкова кон’юнктура</w:t>
            </w:r>
          </w:p>
        </w:tc>
        <w:tc>
          <w:tcPr>
            <w:tcW w:type="dxa" w:w="1247"/>
          </w:tcPr>
          <w:p>
            <w:pPr>
              <w:jc w:val="left"/>
            </w:pPr>
            <w:r/>
            <w:r>
              <w:rPr>
                <w:rFonts w:ascii="Arial" w:hAnsi="Arial" w:eastAsia="Arial"/>
                <w:b w:val="0"/>
                <w:i w:val="0"/>
                <w:color w:val="000000"/>
                <w:sz w:val="20"/>
              </w:rPr>
              <w:t>10.2</w:t>
            </w:r>
          </w:p>
        </w:tc>
        <w:tc>
          <w:tcPr>
            <w:tcW w:type="dxa" w:w="1247"/>
          </w:tcPr>
          <w:p>
            <w:pPr>
              <w:jc w:val="left"/>
            </w:pPr>
            <w:r/>
            <w:r>
              <w:rPr>
                <w:rFonts w:ascii="Arial" w:hAnsi="Arial" w:eastAsia="Arial"/>
                <w:b w:val="0"/>
                <w:i w:val="0"/>
                <w:color w:val="000000"/>
                <w:sz w:val="20"/>
              </w:rPr>
              <w:t>Контрольний</w:t>
            </w:r>
          </w:p>
        </w:tc>
        <w:tc>
          <w:tcPr>
            <w:tcW w:type="dxa" w:w="1247"/>
          </w:tcPr>
          <w:p>
            <w:pPr>
              <w:jc w:val="left"/>
            </w:pPr>
            <w:r/>
            <w:r>
              <w:rPr>
                <w:rFonts w:ascii="Arial" w:hAnsi="Arial" w:eastAsia="Arial"/>
                <w:b w:val="0"/>
                <w:i w:val="0"/>
                <w:color w:val="000000"/>
                <w:sz w:val="20"/>
              </w:rPr>
              <w:t>моніторинг</w:t>
            </w:r>
          </w:p>
        </w:tc>
        <w:tc>
          <w:tcPr>
            <w:tcW w:type="dxa" w:w="1247"/>
          </w:tcPr>
          <w:p>
            <w:pPr>
              <w:jc w:val="left"/>
            </w:pPr>
            <w:r/>
            <w:r>
              <w:rPr>
                <w:rFonts w:ascii="Arial" w:hAnsi="Arial" w:eastAsia="Arial"/>
                <w:b w:val="0"/>
                <w:i w:val="0"/>
                <w:color w:val="000000"/>
                <w:sz w:val="20"/>
              </w:rPr>
              <w:t>моніторинг і source audit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R11</w:t>
            </w:r>
          </w:p>
        </w:tc>
        <w:tc>
          <w:tcPr>
            <w:tcW w:type="dxa" w:w="1247"/>
          </w:tcPr>
          <w:p>
            <w:pPr>
              <w:jc w:val="left"/>
            </w:pPr>
            <w:r/>
            <w:r>
              <w:rPr>
                <w:rFonts w:ascii="Arial" w:hAnsi="Arial" w:eastAsia="Arial"/>
                <w:b w:val="0"/>
                <w:i w:val="0"/>
                <w:color w:val="000000"/>
                <w:sz w:val="20"/>
              </w:rPr>
              <w:t>Регіонально-соціальна нестійкість і слабка абсорбція відбудови</w:t>
            </w:r>
          </w:p>
        </w:tc>
        <w:tc>
          <w:tcPr>
            <w:tcW w:type="dxa" w:w="1247"/>
          </w:tcPr>
          <w:p>
            <w:pPr>
              <w:jc w:val="left"/>
            </w:pPr>
            <w:r/>
            <w:r>
              <w:rPr>
                <w:rFonts w:ascii="Arial" w:hAnsi="Arial" w:eastAsia="Arial"/>
                <w:b w:val="0"/>
                <w:i w:val="0"/>
                <w:color w:val="000000"/>
                <w:sz w:val="20"/>
              </w:rPr>
              <w:t>18.0</w:t>
            </w:r>
          </w:p>
        </w:tc>
        <w:tc>
          <w:tcPr>
            <w:tcW w:type="dxa" w:w="1247"/>
          </w:tcPr>
          <w:p>
            <w:pPr>
              <w:jc w:val="left"/>
            </w:pPr>
            <w:r/>
            <w:r>
              <w:rPr>
                <w:rFonts w:ascii="Arial" w:hAnsi="Arial" w:eastAsia="Arial"/>
                <w:b w:val="0"/>
                <w:i w:val="0"/>
                <w:color w:val="000000"/>
                <w:sz w:val="20"/>
              </w:rPr>
              <w:t>Підвищений</w:t>
            </w:r>
          </w:p>
        </w:tc>
        <w:tc>
          <w:tcPr>
            <w:tcW w:type="dxa" w:w="1247"/>
          </w:tcPr>
          <w:p>
            <w:pPr>
              <w:jc w:val="left"/>
            </w:pPr>
            <w:r/>
            <w:r>
              <w:rPr>
                <w:rFonts w:ascii="Arial" w:hAnsi="Arial" w:eastAsia="Arial"/>
                <w:b w:val="0"/>
                <w:i w:val="0"/>
                <w:color w:val="000000"/>
                <w:sz w:val="20"/>
              </w:rPr>
              <w:t>моніторинг</w:t>
            </w:r>
          </w:p>
        </w:tc>
        <w:tc>
          <w:tcPr>
            <w:tcW w:type="dxa" w:w="1247"/>
          </w:tcPr>
          <w:p>
            <w:pPr>
              <w:jc w:val="left"/>
            </w:pPr>
            <w:r/>
            <w:r>
              <w:rPr>
                <w:rFonts w:ascii="Arial" w:hAnsi="Arial" w:eastAsia="Arial"/>
                <w:b w:val="0"/>
                <w:i w:val="0"/>
                <w:color w:val="000000"/>
                <w:sz w:val="20"/>
              </w:rPr>
              <w:t>цільовий запобіжник</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R12</w:t>
            </w:r>
          </w:p>
        </w:tc>
        <w:tc>
          <w:tcPr>
            <w:tcW w:type="dxa" w:w="1247"/>
          </w:tcPr>
          <w:p>
            <w:pPr>
              <w:jc w:val="left"/>
            </w:pPr>
            <w:r/>
            <w:r>
              <w:rPr>
                <w:rFonts w:ascii="Arial" w:hAnsi="Arial" w:eastAsia="Arial"/>
                <w:b w:val="0"/>
                <w:i w:val="0"/>
                <w:color w:val="000000"/>
                <w:sz w:val="20"/>
              </w:rPr>
              <w:t>Governance і ризик цілісності даних</w:t>
            </w:r>
          </w:p>
        </w:tc>
        <w:tc>
          <w:tcPr>
            <w:tcW w:type="dxa" w:w="1247"/>
          </w:tcPr>
          <w:p>
            <w:pPr>
              <w:jc w:val="left"/>
            </w:pPr>
            <w:r/>
            <w:r>
              <w:rPr>
                <w:rFonts w:ascii="Arial" w:hAnsi="Arial" w:eastAsia="Arial"/>
                <w:b w:val="0"/>
                <w:i w:val="0"/>
                <w:color w:val="000000"/>
                <w:sz w:val="20"/>
              </w:rPr>
              <w:t>3.9</w:t>
            </w:r>
          </w:p>
        </w:tc>
        <w:tc>
          <w:tcPr>
            <w:tcW w:type="dxa" w:w="1247"/>
          </w:tcPr>
          <w:p>
            <w:pPr>
              <w:jc w:val="left"/>
            </w:pPr>
            <w:r/>
            <w:r>
              <w:rPr>
                <w:rFonts w:ascii="Arial" w:hAnsi="Arial" w:eastAsia="Arial"/>
                <w:b w:val="0"/>
                <w:i w:val="0"/>
                <w:color w:val="000000"/>
                <w:sz w:val="20"/>
              </w:rPr>
              <w:t>Контрольний</w:t>
            </w:r>
          </w:p>
        </w:tc>
        <w:tc>
          <w:tcPr>
            <w:tcW w:type="dxa" w:w="1247"/>
          </w:tcPr>
          <w:p>
            <w:pPr>
              <w:jc w:val="left"/>
            </w:pPr>
            <w:r/>
            <w:r>
              <w:rPr>
                <w:rFonts w:ascii="Arial" w:hAnsi="Arial" w:eastAsia="Arial"/>
                <w:b w:val="0"/>
                <w:i w:val="0"/>
                <w:color w:val="000000"/>
                <w:sz w:val="20"/>
              </w:rPr>
              <w:t>моніторинг</w:t>
            </w:r>
          </w:p>
        </w:tc>
        <w:tc>
          <w:tcPr>
            <w:tcW w:type="dxa" w:w="1247"/>
          </w:tcPr>
          <w:p>
            <w:pPr>
              <w:jc w:val="left"/>
            </w:pPr>
            <w:r/>
            <w:r>
              <w:rPr>
                <w:rFonts w:ascii="Arial" w:hAnsi="Arial" w:eastAsia="Arial"/>
                <w:b w:val="0"/>
                <w:i w:val="0"/>
                <w:color w:val="000000"/>
                <w:sz w:val="20"/>
              </w:rPr>
              <w:t>моніторинг і source audit</w:t>
            </w:r>
          </w:p>
        </w:tc>
        <w:tc>
          <w:tcPr>
            <w:tcW w:type="dxa" w:w="794"/>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9746"/>
      </w:tblGrid>
      <w:tr>
        <w:tc>
          <w:tcPr>
            <w:tcW w:type="dxa" w:w="2438"/>
          </w:tcPr>
          <w:p>
            <w:pPr>
              <w:jc w:val="left"/>
            </w:pPr>
            <w:r/>
            <w:r>
              <w:rPr>
                <w:rFonts w:ascii="Arial" w:hAnsi="Arial" w:eastAsia="Arial"/>
                <w:b/>
                <w:i w:val="0"/>
                <w:color w:val="000000"/>
                <w:sz w:val="20"/>
              </w:rPr>
              <w:t>Опора</w:t>
            </w:r>
          </w:p>
        </w:tc>
      </w:tr>
    </w:tbl>
    <w:tbl>
      <w:tblPr>
        <w:tblStyle w:val="TableGrid"/>
        <w:tblW w:type="auto" w:w="0"/>
        <w:jc w:val="left"/>
        <w:tblLayout w:type="fixed"/>
        <w:tblLook w:firstColumn="1" w:firstRow="1" w:lastColumn="0" w:lastRow="0" w:noHBand="0" w:noVBand="1" w:val="04A0"/>
      </w:tblPr>
      <w:tblGrid>
        <w:gridCol w:w="9746"/>
      </w:tblGrid>
      <w:tr>
        <w:tc>
          <w:tcPr>
            <w:tcW w:type="dxa" w:w="2438"/>
          </w:tcPr>
          <w:p>
            <w:pPr>
              <w:jc w:val="left"/>
            </w:pPr>
            <w:r/>
            <w:r>
              <w:rPr>
                <w:rFonts w:ascii="Arial" w:hAnsi="Arial" w:eastAsia="Arial"/>
                <w:b/>
                <w:i w:val="0"/>
                <w:color w:val="000000"/>
                <w:sz w:val="20"/>
              </w:rPr>
              <w:t>Опора</w:t>
            </w:r>
          </w:p>
        </w:tc>
      </w:tr>
    </w:tbl>
    <w:tbl>
      <w:tblPr>
        <w:tblStyle w:val="TableGrid"/>
        <w:tblW w:type="auto" w:w="0"/>
        <w:jc w:val="left"/>
        <w:tblLayout w:type="fixed"/>
        <w:tblLook w:firstColumn="1" w:firstRow="1" w:lastColumn="0" w:lastRow="0" w:noHBand="0" w:noVBand="1" w:val="04A0"/>
      </w:tblPr>
      <w:tblGrid>
        <w:gridCol w:w="9746"/>
      </w:tblGrid>
      <w:tr>
        <w:tc>
          <w:tcPr>
            <w:tcW w:type="dxa" w:w="2438"/>
          </w:tcPr>
          <w:p>
            <w:pPr>
              <w:jc w:val="left"/>
            </w:pPr>
            <w:r/>
            <w:r>
              <w:rPr>
                <w:rFonts w:ascii="Arial" w:hAnsi="Arial" w:eastAsia="Arial"/>
                <w:b/>
                <w:i w:val="0"/>
                <w:color w:val="000000"/>
                <w:sz w:val="20"/>
              </w:rPr>
              <w:t>Опора</w:t>
            </w:r>
          </w:p>
        </w:tc>
      </w:tr>
    </w:tbl>
    <w:tbl>
      <w:tblPr>
        <w:tblStyle w:val="TableGrid"/>
        <w:tblW w:type="auto" w:w="0"/>
        <w:jc w:val="left"/>
        <w:tblLayout w:type="fixed"/>
        <w:tblLook w:firstColumn="1" w:firstRow="1" w:lastColumn="0" w:lastRow="0" w:noHBand="0" w:noVBand="1" w:val="04A0"/>
      </w:tblPr>
      <w:tblGrid>
        <w:gridCol w:w="9746"/>
      </w:tblGrid>
      <w:tr>
        <w:tc>
          <w:tcPr>
            <w:tcW w:type="dxa" w:w="2438"/>
          </w:tcPr>
          <w:p>
            <w:pPr>
              <w:jc w:val="left"/>
            </w:pPr>
            <w:r/>
            <w:r>
              <w:rPr>
                <w:rFonts w:ascii="Arial" w:hAnsi="Arial" w:eastAsia="Arial"/>
                <w:b/>
                <w:i w:val="0"/>
                <w:color w:val="000000"/>
                <w:sz w:val="20"/>
              </w:rPr>
              <w:t>Опора</w:t>
            </w:r>
          </w:p>
        </w:tc>
      </w:tr>
    </w:tbl>
    <w:tbl>
      <w:tblPr>
        <w:tblStyle w:val="TableGrid"/>
        <w:tblW w:type="auto" w:w="0"/>
        <w:jc w:val="left"/>
        <w:tblLayout w:type="fixed"/>
        <w:tblLook w:firstColumn="1" w:firstRow="1" w:lastColumn="0" w:lastRow="0" w:noHBand="0" w:noVBand="1" w:val="04A0"/>
      </w:tblPr>
      <w:tblGrid>
        <w:gridCol w:w="9746"/>
      </w:tblGrid>
      <w:tr>
        <w:tc>
          <w:tcPr>
            <w:tcW w:type="dxa" w:w="2438"/>
          </w:tcPr>
          <w:p>
            <w:pPr>
              <w:jc w:val="left"/>
            </w:pPr>
            <w:r/>
            <w:r>
              <w:rPr>
                <w:rFonts w:ascii="Arial" w:hAnsi="Arial" w:eastAsia="Arial"/>
                <w:b/>
                <w:i w:val="0"/>
                <w:color w:val="000000"/>
                <w:sz w:val="20"/>
              </w:rPr>
              <w:t>Опора</w:t>
            </w:r>
          </w:p>
        </w:tc>
      </w:tr>
    </w:tbl>
    <w:tbl>
      <w:tblPr>
        <w:tblStyle w:val="TableGrid"/>
        <w:tblW w:type="auto" w:w="0"/>
        <w:jc w:val="left"/>
        <w:tblLayout w:type="fixed"/>
        <w:tblLook w:firstColumn="1" w:firstRow="1" w:lastColumn="0" w:lastRow="0" w:noHBand="0" w:noVBand="1" w:val="04A0"/>
      </w:tblPr>
      <w:tblGrid>
        <w:gridCol w:w="9746"/>
      </w:tblGrid>
      <w:tr>
        <w:tc>
          <w:tcPr>
            <w:tcW w:type="dxa" w:w="2438"/>
          </w:tcPr>
          <w:p>
            <w:pPr>
              <w:jc w:val="left"/>
            </w:pPr>
            <w:r/>
            <w:r>
              <w:rPr>
                <w:rFonts w:ascii="Arial" w:hAnsi="Arial" w:eastAsia="Arial"/>
                <w:b/>
                <w:i w:val="0"/>
                <w:color w:val="000000"/>
                <w:sz w:val="20"/>
              </w:rPr>
              <w:t>Опора</w:t>
            </w:r>
          </w:p>
        </w:tc>
      </w:tr>
    </w:tbl>
    <w:tbl>
      <w:tblPr>
        <w:tblStyle w:val="TableGrid"/>
        <w:tblW w:type="auto" w:w="0"/>
        <w:jc w:val="left"/>
        <w:tblLayout w:type="fixed"/>
        <w:tblLook w:firstColumn="1" w:firstRow="1" w:lastColumn="0" w:lastRow="0" w:noHBand="0" w:noVBand="1" w:val="04A0"/>
      </w:tblPr>
      <w:tblGrid>
        <w:gridCol w:w="9746"/>
      </w:tblGrid>
      <w:tr>
        <w:tc>
          <w:tcPr>
            <w:tcW w:type="dxa" w:w="2438"/>
          </w:tcPr>
          <w:p>
            <w:pPr>
              <w:jc w:val="left"/>
            </w:pPr>
            <w:r/>
            <w:r>
              <w:rPr>
                <w:rFonts w:ascii="Arial" w:hAnsi="Arial" w:eastAsia="Arial"/>
                <w:b/>
                <w:i w:val="0"/>
                <w:color w:val="000000"/>
                <w:sz w:val="20"/>
              </w:rPr>
              <w:t>Опора</w:t>
            </w:r>
          </w:p>
        </w:tc>
      </w:tr>
    </w:tbl>
    <w:tbl>
      <w:tblPr>
        <w:tblStyle w:val="TableGrid"/>
        <w:tblW w:type="auto" w:w="0"/>
        <w:jc w:val="left"/>
        <w:tblLayout w:type="fixed"/>
        <w:tblLook w:firstColumn="1" w:firstRow="1" w:lastColumn="0" w:lastRow="0" w:noHBand="0" w:noVBand="1" w:val="04A0"/>
      </w:tblPr>
      <w:tblGrid>
        <w:gridCol w:w="9746"/>
      </w:tblGrid>
      <w:tr>
        <w:tc>
          <w:tcPr>
            <w:tcW w:type="dxa" w:w="2438"/>
          </w:tcPr>
          <w:p>
            <w:pPr>
              <w:jc w:val="left"/>
            </w:pPr>
            <w:r/>
            <w:r>
              <w:rPr>
                <w:rFonts w:ascii="Arial" w:hAnsi="Arial" w:eastAsia="Arial"/>
                <w:b/>
                <w:i w:val="0"/>
                <w:color w:val="000000"/>
                <w:sz w:val="20"/>
              </w:rPr>
              <w:t>Опора</w:t>
            </w:r>
          </w:p>
        </w:tc>
      </w:tr>
    </w:tbl>
    <w:tbl>
      <w:tblPr>
        <w:tblStyle w:val="TableGrid"/>
        <w:tblW w:type="auto" w:w="0"/>
        <w:jc w:val="left"/>
        <w:tblLayout w:type="fixed"/>
        <w:tblLook w:firstColumn="1" w:firstRow="1" w:lastColumn="0" w:lastRow="0" w:noHBand="0" w:noVBand="1" w:val="04A0"/>
      </w:tblPr>
      <w:tblGrid>
        <w:gridCol w:w="9746"/>
      </w:tblGrid>
      <w:tr>
        <w:tc>
          <w:tcPr>
            <w:tcW w:type="dxa" w:w="2438"/>
          </w:tcPr>
          <w:p>
            <w:pPr>
              <w:jc w:val="left"/>
            </w:pPr>
            <w:r/>
            <w:r>
              <w:rPr>
                <w:rFonts w:ascii="Arial" w:hAnsi="Arial" w:eastAsia="Arial"/>
                <w:b/>
                <w:i w:val="0"/>
                <w:color w:val="000000"/>
                <w:sz w:val="20"/>
              </w:rPr>
              <w:t>Опора</w:t>
            </w:r>
          </w:p>
        </w:tc>
      </w:tr>
    </w:tbl>
    <w:tbl>
      <w:tblPr>
        <w:tblStyle w:val="TableGrid"/>
        <w:tblW w:type="auto" w:w="0"/>
        <w:jc w:val="left"/>
        <w:tblLayout w:type="fixed"/>
        <w:tblLook w:firstColumn="1" w:firstRow="1" w:lastColumn="0" w:lastRow="0" w:noHBand="0" w:noVBand="1" w:val="04A0"/>
      </w:tblPr>
      <w:tblGrid>
        <w:gridCol w:w="9746"/>
      </w:tblGrid>
      <w:tr>
        <w:tc>
          <w:tcPr>
            <w:tcW w:type="dxa" w:w="2438"/>
          </w:tcPr>
          <w:p>
            <w:pPr>
              <w:jc w:val="left"/>
            </w:pPr>
            <w:r/>
            <w:r>
              <w:rPr>
                <w:rFonts w:ascii="Arial" w:hAnsi="Arial" w:eastAsia="Arial"/>
                <w:b/>
                <w:i w:val="0"/>
                <w:color w:val="000000"/>
                <w:sz w:val="20"/>
              </w:rPr>
              <w:t>Опора</w:t>
            </w:r>
          </w:p>
        </w:tc>
      </w:tr>
    </w:tbl>
    <w:tbl>
      <w:tblPr>
        <w:tblStyle w:val="TableGrid"/>
        <w:tblW w:type="auto" w:w="0"/>
        <w:jc w:val="left"/>
        <w:tblLayout w:type="fixed"/>
        <w:tblLook w:firstColumn="1" w:firstRow="1" w:lastColumn="0" w:lastRow="0" w:noHBand="0" w:noVBand="1" w:val="04A0"/>
      </w:tblPr>
      <w:tblGrid>
        <w:gridCol w:w="9746"/>
      </w:tblGrid>
      <w:tr>
        <w:tc>
          <w:tcPr>
            <w:tcW w:type="dxa" w:w="2438"/>
          </w:tcPr>
          <w:p>
            <w:pPr>
              <w:jc w:val="left"/>
            </w:pPr>
            <w:r/>
            <w:r>
              <w:rPr>
                <w:rFonts w:ascii="Arial" w:hAnsi="Arial" w:eastAsia="Arial"/>
                <w:b/>
                <w:i w:val="0"/>
                <w:color w:val="000000"/>
                <w:sz w:val="20"/>
              </w:rPr>
              <w:t>Опора</w:t>
            </w:r>
          </w:p>
        </w:tc>
      </w:tr>
    </w:tbl>
    <w:p>
      <w:pPr>
        <w:pStyle w:val="Heading1"/>
      </w:pPr>
      <w:r>
        <w:rPr>
          <w:rFonts w:ascii="Arial" w:hAnsi="Arial" w:eastAsia="Arial"/>
          <w:b/>
          <w:i w:val="0"/>
          <w:color w:val="000000"/>
          <w:sz w:val="44"/>
        </w:rPr>
        <w:t>Каскадні ефекти: як один ризик переходить між секторами, бюджетом, зовнішнім балансом, регіонами і громадами</w:t>
      </w:r>
    </w:p>
    <w:p>
      <w:pPr>
        <w:jc w:val="both"/>
      </w:pPr>
      <w:r>
        <w:rPr>
          <w:rFonts w:ascii="Arial" w:hAnsi="Arial" w:eastAsia="Arial"/>
          <w:b w:val="0"/>
          <w:i w:val="0"/>
          <w:color w:val="000000"/>
          <w:sz w:val="24"/>
        </w:rPr>
        <w:t>Каскадність є центральною відмінністю E2 від простої матриці probability × impact. [1] Дослідження критичної інфраструктури підкреслюють, що disruption в одному вузлі може переходити між секторами, а compound, cascading and systemic risks вимагають окремого опису interdependence.</w:t>
      </w:r>
    </w:p>
    <w:tbl>
      <w:tblPr>
        <w:tblStyle w:val="TableGrid"/>
        <w:tblW w:type="auto" w:w="0"/>
        <w:jc w:val="left"/>
        <w:tblLayout w:type="fixed"/>
        <w:tblLook w:firstColumn="1" w:firstRow="1" w:lastColumn="0" w:lastRow="0" w:noHBand="0" w:noVBand="1" w:val="04A0"/>
      </w:tblPr>
      <w:tblGrid>
        <w:gridCol w:w="1083"/>
        <w:gridCol w:w="1083"/>
        <w:gridCol w:w="1083"/>
        <w:gridCol w:w="1083"/>
        <w:gridCol w:w="1083"/>
        <w:gridCol w:w="1083"/>
        <w:gridCol w:w="1083"/>
        <w:gridCol w:w="1083"/>
        <w:gridCol w:w="1083"/>
      </w:tblGrid>
      <w:tr>
        <w:tc>
          <w:tcPr>
            <w:tcW w:type="dxa" w:w="2041"/>
          </w:tcPr>
          <w:p>
            <w:pPr>
              <w:jc w:val="left"/>
            </w:pPr>
            <w:r/>
            <w:r>
              <w:rPr>
                <w:rFonts w:ascii="Arial" w:hAnsi="Arial" w:eastAsia="Arial"/>
                <w:b/>
                <w:i w:val="0"/>
                <w:color w:val="000000"/>
                <w:sz w:val="20"/>
              </w:rPr>
              <w:t>ID</w:t>
            </w:r>
          </w:p>
        </w:tc>
        <w:tc>
          <w:tcPr>
            <w:tcW w:type="dxa" w:w="1247"/>
          </w:tcPr>
          <w:p>
            <w:pPr>
              <w:jc w:val="left"/>
            </w:pPr>
            <w:r/>
            <w:r>
              <w:rPr>
                <w:rFonts w:ascii="Arial" w:hAnsi="Arial" w:eastAsia="Arial"/>
                <w:b/>
                <w:i w:val="0"/>
                <w:color w:val="000000"/>
                <w:sz w:val="20"/>
              </w:rPr>
              <w:t>Тригер</w:t>
            </w:r>
          </w:p>
        </w:tc>
        <w:tc>
          <w:tcPr>
            <w:tcW w:type="dxa" w:w="1247"/>
          </w:tcPr>
          <w:p>
            <w:pPr>
              <w:jc w:val="left"/>
            </w:pPr>
            <w:r/>
            <w:r>
              <w:rPr>
                <w:rFonts w:ascii="Arial" w:hAnsi="Arial" w:eastAsia="Arial"/>
                <w:b/>
                <w:i w:val="0"/>
                <w:color w:val="000000"/>
                <w:sz w:val="20"/>
              </w:rPr>
              <w:t>Ланцюг каскаду</w:t>
            </w:r>
          </w:p>
        </w:tc>
        <w:tc>
          <w:tcPr>
            <w:tcW w:type="dxa" w:w="1247"/>
          </w:tcPr>
          <w:p>
            <w:pPr>
              <w:jc w:val="left"/>
            </w:pPr>
            <w:r/>
            <w:r>
              <w:rPr>
                <w:rFonts w:ascii="Arial" w:hAnsi="Arial" w:eastAsia="Arial"/>
                <w:b/>
                <w:i w:val="0"/>
                <w:color w:val="000000"/>
                <w:sz w:val="20"/>
              </w:rPr>
              <w:t>Параметри</w:t>
            </w:r>
          </w:p>
        </w:tc>
        <w:tc>
          <w:tcPr>
            <w:tcW w:type="dxa" w:w="1247"/>
          </w:tcPr>
          <w:p>
            <w:pPr>
              <w:jc w:val="left"/>
            </w:pPr>
            <w:r/>
            <w:r>
              <w:rPr>
                <w:rFonts w:ascii="Arial" w:hAnsi="Arial" w:eastAsia="Arial"/>
                <w:b/>
                <w:i w:val="0"/>
                <w:color w:val="000000"/>
                <w:sz w:val="20"/>
              </w:rPr>
              <w:t>Пов’язані розділи</w:t>
            </w:r>
          </w:p>
        </w:tc>
        <w:tc>
          <w:tcPr>
            <w:tcW w:type="dxa" w:w="1247"/>
          </w:tcPr>
          <w:p>
            <w:pPr>
              <w:jc w:val="left"/>
            </w:pPr>
            <w:r/>
            <w:r>
              <w:rPr>
                <w:rFonts w:ascii="Arial" w:hAnsi="Arial" w:eastAsia="Arial"/>
                <w:b/>
                <w:i w:val="0"/>
                <w:color w:val="000000"/>
                <w:sz w:val="20"/>
              </w:rPr>
              <w:t>Перший ефект</w:t>
            </w:r>
          </w:p>
        </w:tc>
        <w:tc>
          <w:tcPr>
            <w:tcW w:type="dxa" w:w="1247"/>
          </w:tcPr>
          <w:p>
            <w:pPr>
              <w:jc w:val="left"/>
            </w:pPr>
            <w:r/>
            <w:r>
              <w:rPr>
                <w:rFonts w:ascii="Arial" w:hAnsi="Arial" w:eastAsia="Arial"/>
                <w:b/>
                <w:i w:val="0"/>
                <w:color w:val="000000"/>
                <w:sz w:val="20"/>
              </w:rPr>
              <w:t>Фіскальний / зовнішній другий ефект</w:t>
            </w:r>
          </w:p>
        </w:tc>
        <w:tc>
          <w:tcPr>
            <w:tcW w:type="dxa" w:w="1247"/>
          </w:tcPr>
          <w:p>
            <w:pPr>
              <w:jc w:val="left"/>
            </w:pPr>
            <w:r/>
            <w:r>
              <w:rPr>
                <w:rFonts w:ascii="Arial" w:hAnsi="Arial" w:eastAsia="Arial"/>
                <w:b/>
                <w:i w:val="0"/>
                <w:color w:val="000000"/>
                <w:sz w:val="20"/>
              </w:rPr>
              <w:t>Запобіжник</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C01</w:t>
            </w:r>
          </w:p>
        </w:tc>
        <w:tc>
          <w:tcPr>
            <w:tcW w:type="dxa" w:w="1247"/>
          </w:tcPr>
          <w:p>
            <w:pPr>
              <w:jc w:val="left"/>
            </w:pPr>
            <w:r/>
            <w:r>
              <w:rPr>
                <w:rFonts w:ascii="Arial" w:hAnsi="Arial" w:eastAsia="Arial"/>
                <w:b w:val="0"/>
                <w:i w:val="0"/>
                <w:color w:val="000000"/>
                <w:sz w:val="20"/>
              </w:rPr>
              <w:t>Енергетичний шок</w:t>
            </w:r>
          </w:p>
        </w:tc>
        <w:tc>
          <w:tcPr>
            <w:tcW w:type="dxa" w:w="1247"/>
          </w:tcPr>
          <w:p>
            <w:pPr>
              <w:jc w:val="left"/>
            </w:pPr>
            <w:r/>
            <w:r>
              <w:rPr>
                <w:rFonts w:ascii="Arial" w:hAnsi="Arial" w:eastAsia="Arial"/>
                <w:b w:val="0"/>
                <w:i w:val="0"/>
                <w:color w:val="000000"/>
                <w:sz w:val="20"/>
              </w:rPr>
              <w:t>дефіцит енергії → простій → нижчий експорт → нижчі доходи → борговий тиск</w:t>
            </w:r>
          </w:p>
        </w:tc>
        <w:tc>
          <w:tcPr>
            <w:tcW w:type="dxa" w:w="1247"/>
          </w:tcPr>
          <w:p>
            <w:pPr>
              <w:jc w:val="left"/>
            </w:pPr>
            <w:r/>
            <w:r>
              <w:rPr>
                <w:rFonts w:ascii="Arial" w:hAnsi="Arial" w:eastAsia="Arial"/>
                <w:b w:val="0"/>
                <w:i w:val="0"/>
                <w:color w:val="000000"/>
                <w:sz w:val="20"/>
              </w:rPr>
              <w:t>P01; P07</w:t>
            </w:r>
          </w:p>
        </w:tc>
        <w:tc>
          <w:tcPr>
            <w:tcW w:type="dxa" w:w="1247"/>
          </w:tcPr>
          <w:p>
            <w:pPr>
              <w:jc w:val="left"/>
            </w:pPr>
            <w:r/>
            <w:r>
              <w:rPr>
                <w:rFonts w:ascii="Arial" w:hAnsi="Arial" w:eastAsia="Arial"/>
                <w:b w:val="0"/>
                <w:i w:val="0"/>
                <w:color w:val="000000"/>
                <w:sz w:val="20"/>
              </w:rPr>
              <w:t>A1; A3; A4; A5; V3; V4</w:t>
            </w:r>
          </w:p>
        </w:tc>
        <w:tc>
          <w:tcPr>
            <w:tcW w:type="dxa" w:w="1247"/>
          </w:tcPr>
          <w:p>
            <w:pPr>
              <w:jc w:val="left"/>
            </w:pPr>
            <w:r/>
            <w:r>
              <w:rPr>
                <w:rFonts w:ascii="Arial" w:hAnsi="Arial" w:eastAsia="Arial"/>
                <w:b w:val="0"/>
                <w:i w:val="0"/>
                <w:color w:val="000000"/>
                <w:sz w:val="20"/>
              </w:rPr>
              <w:t>завантаження падає; собівартість зростає</w:t>
            </w:r>
          </w:p>
        </w:tc>
        <w:tc>
          <w:tcPr>
            <w:tcW w:type="dxa" w:w="1247"/>
          </w:tcPr>
          <w:p>
            <w:pPr>
              <w:jc w:val="left"/>
            </w:pPr>
            <w:r/>
            <w:r>
              <w:rPr>
                <w:rFonts w:ascii="Arial" w:hAnsi="Arial" w:eastAsia="Arial"/>
                <w:b w:val="0"/>
                <w:i w:val="0"/>
                <w:color w:val="000000"/>
                <w:sz w:val="20"/>
              </w:rPr>
              <w:t>менше ПДВ/податку на прибуток/експортної виручки</w:t>
            </w:r>
          </w:p>
        </w:tc>
        <w:tc>
          <w:tcPr>
            <w:tcW w:type="dxa" w:w="1247"/>
          </w:tcPr>
          <w:p>
            <w:pPr>
              <w:jc w:val="left"/>
            </w:pPr>
            <w:r/>
            <w:r>
              <w:rPr>
                <w:rFonts w:ascii="Arial" w:hAnsi="Arial" w:eastAsia="Arial"/>
                <w:b w:val="0"/>
                <w:i w:val="0"/>
                <w:color w:val="000000"/>
                <w:sz w:val="20"/>
              </w:rPr>
              <w:t>промислові контракти; distributed generation; резерви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C02</w:t>
            </w:r>
          </w:p>
        </w:tc>
        <w:tc>
          <w:tcPr>
            <w:tcW w:type="dxa" w:w="1247"/>
          </w:tcPr>
          <w:p>
            <w:pPr>
              <w:jc w:val="left"/>
            </w:pPr>
            <w:r/>
            <w:r>
              <w:rPr>
                <w:rFonts w:ascii="Arial" w:hAnsi="Arial" w:eastAsia="Arial"/>
                <w:b w:val="0"/>
                <w:i w:val="0"/>
                <w:color w:val="000000"/>
                <w:sz w:val="20"/>
              </w:rPr>
              <w:t>Затримка зовнішнього фінансування</w:t>
            </w:r>
          </w:p>
        </w:tc>
        <w:tc>
          <w:tcPr>
            <w:tcW w:type="dxa" w:w="1247"/>
          </w:tcPr>
          <w:p>
            <w:pPr>
              <w:jc w:val="left"/>
            </w:pPr>
            <w:r/>
            <w:r>
              <w:rPr>
                <w:rFonts w:ascii="Arial" w:hAnsi="Arial" w:eastAsia="Arial"/>
                <w:b w:val="0"/>
                <w:i w:val="0"/>
                <w:color w:val="000000"/>
                <w:sz w:val="20"/>
              </w:rPr>
              <w:t>затримка допомоги → тиск на резерви/бюджет → імпортні обмеження → нижча довіра → відкладений CAPEX</w:t>
            </w:r>
          </w:p>
        </w:tc>
        <w:tc>
          <w:tcPr>
            <w:tcW w:type="dxa" w:w="1247"/>
          </w:tcPr>
          <w:p>
            <w:pPr>
              <w:jc w:val="left"/>
            </w:pPr>
            <w:r/>
            <w:r>
              <w:rPr>
                <w:rFonts w:ascii="Arial" w:hAnsi="Arial" w:eastAsia="Arial"/>
                <w:b w:val="0"/>
                <w:i w:val="0"/>
                <w:color w:val="000000"/>
                <w:sz w:val="20"/>
              </w:rPr>
              <w:t>P03</w:t>
            </w:r>
          </w:p>
        </w:tc>
        <w:tc>
          <w:tcPr>
            <w:tcW w:type="dxa" w:w="1247"/>
          </w:tcPr>
          <w:p>
            <w:pPr>
              <w:jc w:val="left"/>
            </w:pPr>
            <w:r/>
            <w:r>
              <w:rPr>
                <w:rFonts w:ascii="Arial" w:hAnsi="Arial" w:eastAsia="Arial"/>
                <w:b w:val="0"/>
                <w:i w:val="0"/>
                <w:color w:val="000000"/>
                <w:sz w:val="20"/>
              </w:rPr>
              <w:t>V2; V3; V4; B4</w:t>
            </w:r>
          </w:p>
        </w:tc>
        <w:tc>
          <w:tcPr>
            <w:tcW w:type="dxa" w:w="1247"/>
          </w:tcPr>
          <w:p>
            <w:pPr>
              <w:jc w:val="left"/>
            </w:pPr>
            <w:r/>
            <w:r>
              <w:rPr>
                <w:rFonts w:ascii="Arial" w:hAnsi="Arial" w:eastAsia="Arial"/>
                <w:b w:val="0"/>
                <w:i w:val="0"/>
                <w:color w:val="000000"/>
                <w:sz w:val="20"/>
              </w:rPr>
              <w:t>бюджетне виконання сповільнюється</w:t>
            </w:r>
          </w:p>
        </w:tc>
        <w:tc>
          <w:tcPr>
            <w:tcW w:type="dxa" w:w="1247"/>
          </w:tcPr>
          <w:p>
            <w:pPr>
              <w:jc w:val="left"/>
            </w:pPr>
            <w:r/>
            <w:r>
              <w:rPr>
                <w:rFonts w:ascii="Arial" w:hAnsi="Arial" w:eastAsia="Arial"/>
                <w:b w:val="0"/>
                <w:i w:val="0"/>
                <w:color w:val="000000"/>
                <w:sz w:val="20"/>
              </w:rPr>
              <w:t>дефіцитне фінансування і arrears risk зростають</w:t>
            </w:r>
          </w:p>
        </w:tc>
        <w:tc>
          <w:tcPr>
            <w:tcW w:type="dxa" w:w="1247"/>
          </w:tcPr>
          <w:p>
            <w:pPr>
              <w:jc w:val="left"/>
            </w:pPr>
            <w:r/>
            <w:r>
              <w:rPr>
                <w:rFonts w:ascii="Arial" w:hAnsi="Arial" w:eastAsia="Arial"/>
                <w:b w:val="0"/>
                <w:i w:val="0"/>
                <w:color w:val="000000"/>
                <w:sz w:val="20"/>
              </w:rPr>
              <w:t>bridge finance; календар виплат; пріоритет видатків</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C03</w:t>
            </w:r>
          </w:p>
        </w:tc>
        <w:tc>
          <w:tcPr>
            <w:tcW w:type="dxa" w:w="1247"/>
          </w:tcPr>
          <w:p>
            <w:pPr>
              <w:jc w:val="left"/>
            </w:pPr>
            <w:r/>
            <w:r>
              <w:rPr>
                <w:rFonts w:ascii="Arial" w:hAnsi="Arial" w:eastAsia="Arial"/>
                <w:b w:val="0"/>
                <w:i w:val="0"/>
                <w:color w:val="000000"/>
                <w:sz w:val="20"/>
              </w:rPr>
              <w:t>Логістичний розрив</w:t>
            </w:r>
          </w:p>
        </w:tc>
        <w:tc>
          <w:tcPr>
            <w:tcW w:type="dxa" w:w="1247"/>
          </w:tcPr>
          <w:p>
            <w:pPr>
              <w:jc w:val="left"/>
            </w:pPr>
            <w:r/>
            <w:r>
              <w:rPr>
                <w:rFonts w:ascii="Arial" w:hAnsi="Arial" w:eastAsia="Arial"/>
                <w:b w:val="0"/>
                <w:i w:val="0"/>
                <w:color w:val="000000"/>
                <w:sz w:val="20"/>
              </w:rPr>
              <w:t>коридорний збій → експортний backlog → cashflow stress → нижче виробництво → нижчі податки</w:t>
            </w:r>
          </w:p>
        </w:tc>
        <w:tc>
          <w:tcPr>
            <w:tcW w:type="dxa" w:w="1247"/>
          </w:tcPr>
          <w:p>
            <w:pPr>
              <w:jc w:val="left"/>
            </w:pPr>
            <w:r/>
            <w:r>
              <w:rPr>
                <w:rFonts w:ascii="Arial" w:hAnsi="Arial" w:eastAsia="Arial"/>
                <w:b w:val="0"/>
                <w:i w:val="0"/>
                <w:color w:val="000000"/>
                <w:sz w:val="20"/>
              </w:rPr>
              <w:t>P05</w:t>
            </w:r>
          </w:p>
        </w:tc>
        <w:tc>
          <w:tcPr>
            <w:tcW w:type="dxa" w:w="1247"/>
          </w:tcPr>
          <w:p>
            <w:pPr>
              <w:jc w:val="left"/>
            </w:pPr>
            <w:r/>
            <w:r>
              <w:rPr>
                <w:rFonts w:ascii="Arial" w:hAnsi="Arial" w:eastAsia="Arial"/>
                <w:b w:val="0"/>
                <w:i w:val="0"/>
                <w:color w:val="000000"/>
                <w:sz w:val="20"/>
              </w:rPr>
              <w:t>A1; A3; A6; B2; V4</w:t>
            </w:r>
          </w:p>
        </w:tc>
        <w:tc>
          <w:tcPr>
            <w:tcW w:type="dxa" w:w="1247"/>
          </w:tcPr>
          <w:p>
            <w:pPr>
              <w:jc w:val="left"/>
            </w:pPr>
            <w:r/>
            <w:r>
              <w:rPr>
                <w:rFonts w:ascii="Arial" w:hAnsi="Arial" w:eastAsia="Arial"/>
                <w:b w:val="0"/>
                <w:i w:val="0"/>
                <w:color w:val="000000"/>
                <w:sz w:val="20"/>
              </w:rPr>
              <w:t>виробник втрачає маржу і строк поставки</w:t>
            </w:r>
          </w:p>
        </w:tc>
        <w:tc>
          <w:tcPr>
            <w:tcW w:type="dxa" w:w="1247"/>
          </w:tcPr>
          <w:p>
            <w:pPr>
              <w:jc w:val="left"/>
            </w:pPr>
            <w:r/>
            <w:r>
              <w:rPr>
                <w:rFonts w:ascii="Arial" w:hAnsi="Arial" w:eastAsia="Arial"/>
                <w:b w:val="0"/>
                <w:i w:val="0"/>
                <w:color w:val="000000"/>
                <w:sz w:val="20"/>
              </w:rPr>
              <w:t>валютна виручка і податки знижуються</w:t>
            </w:r>
          </w:p>
        </w:tc>
        <w:tc>
          <w:tcPr>
            <w:tcW w:type="dxa" w:w="1247"/>
          </w:tcPr>
          <w:p>
            <w:pPr>
              <w:jc w:val="left"/>
            </w:pPr>
            <w:r/>
            <w:r>
              <w:rPr>
                <w:rFonts w:ascii="Arial" w:hAnsi="Arial" w:eastAsia="Arial"/>
                <w:b w:val="0"/>
                <w:i w:val="0"/>
                <w:color w:val="000000"/>
                <w:sz w:val="20"/>
              </w:rPr>
              <w:t>порти; Дунай; rail/border digitalisation</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C04</w:t>
            </w:r>
          </w:p>
        </w:tc>
        <w:tc>
          <w:tcPr>
            <w:tcW w:type="dxa" w:w="1247"/>
          </w:tcPr>
          <w:p>
            <w:pPr>
              <w:jc w:val="left"/>
            </w:pPr>
            <w:r/>
            <w:r>
              <w:rPr>
                <w:rFonts w:ascii="Arial" w:hAnsi="Arial" w:eastAsia="Arial"/>
                <w:b w:val="0"/>
                <w:i w:val="0"/>
                <w:color w:val="000000"/>
                <w:sz w:val="20"/>
              </w:rPr>
              <w:t>Кадровий дефіцит</w:t>
            </w:r>
          </w:p>
        </w:tc>
        <w:tc>
          <w:tcPr>
            <w:tcW w:type="dxa" w:w="1247"/>
          </w:tcPr>
          <w:p>
            <w:pPr>
              <w:jc w:val="left"/>
            </w:pPr>
            <w:r/>
            <w:r>
              <w:rPr>
                <w:rFonts w:ascii="Arial" w:hAnsi="Arial" w:eastAsia="Arial"/>
                <w:b w:val="0"/>
                <w:i w:val="0"/>
                <w:color w:val="000000"/>
                <w:sz w:val="20"/>
              </w:rPr>
              <w:t>labour gap → project delay → слабша абсорбція → нижчий multiplier</w:t>
            </w:r>
          </w:p>
        </w:tc>
        <w:tc>
          <w:tcPr>
            <w:tcW w:type="dxa" w:w="1247"/>
          </w:tcPr>
          <w:p>
            <w:pPr>
              <w:jc w:val="left"/>
            </w:pPr>
            <w:r/>
            <w:r>
              <w:rPr>
                <w:rFonts w:ascii="Arial" w:hAnsi="Arial" w:eastAsia="Arial"/>
                <w:b w:val="0"/>
                <w:i w:val="0"/>
                <w:color w:val="000000"/>
                <w:sz w:val="20"/>
              </w:rPr>
              <w:t>P06; P09</w:t>
            </w:r>
          </w:p>
        </w:tc>
        <w:tc>
          <w:tcPr>
            <w:tcW w:type="dxa" w:w="1247"/>
          </w:tcPr>
          <w:p>
            <w:pPr>
              <w:jc w:val="left"/>
            </w:pPr>
            <w:r/>
            <w:r>
              <w:rPr>
                <w:rFonts w:ascii="Arial" w:hAnsi="Arial" w:eastAsia="Arial"/>
                <w:b w:val="0"/>
                <w:i w:val="0"/>
                <w:color w:val="000000"/>
                <w:sz w:val="20"/>
              </w:rPr>
              <w:t>A5; A4; A2; B1; G2</w:t>
            </w:r>
          </w:p>
        </w:tc>
        <w:tc>
          <w:tcPr>
            <w:tcW w:type="dxa" w:w="1247"/>
          </w:tcPr>
          <w:p>
            <w:pPr>
              <w:jc w:val="left"/>
            </w:pPr>
            <w:r/>
            <w:r>
              <w:rPr>
                <w:rFonts w:ascii="Arial" w:hAnsi="Arial" w:eastAsia="Arial"/>
                <w:b w:val="0"/>
                <w:i w:val="0"/>
                <w:color w:val="000000"/>
                <w:sz w:val="20"/>
              </w:rPr>
              <w:t>профінансовані проєкти не виконуються вчасно</w:t>
            </w:r>
          </w:p>
        </w:tc>
        <w:tc>
          <w:tcPr>
            <w:tcW w:type="dxa" w:w="1247"/>
          </w:tcPr>
          <w:p>
            <w:pPr>
              <w:jc w:val="left"/>
            </w:pPr>
            <w:r/>
            <w:r>
              <w:rPr>
                <w:rFonts w:ascii="Arial" w:hAnsi="Arial" w:eastAsia="Arial"/>
                <w:b w:val="0"/>
                <w:i w:val="0"/>
                <w:color w:val="000000"/>
                <w:sz w:val="20"/>
              </w:rPr>
              <w:t>податковий і соціальний ефект відкладається</w:t>
            </w:r>
          </w:p>
        </w:tc>
        <w:tc>
          <w:tcPr>
            <w:tcW w:type="dxa" w:w="1247"/>
          </w:tcPr>
          <w:p>
            <w:pPr>
              <w:jc w:val="left"/>
            </w:pPr>
            <w:r/>
            <w:r>
              <w:rPr>
                <w:rFonts w:ascii="Arial" w:hAnsi="Arial" w:eastAsia="Arial"/>
                <w:b w:val="0"/>
                <w:i w:val="0"/>
                <w:color w:val="000000"/>
                <w:sz w:val="20"/>
              </w:rPr>
              <w:t>короткі програми; veteran integration; mobility</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C05</w:t>
            </w:r>
          </w:p>
        </w:tc>
        <w:tc>
          <w:tcPr>
            <w:tcW w:type="dxa" w:w="1247"/>
          </w:tcPr>
          <w:p>
            <w:pPr>
              <w:jc w:val="left"/>
            </w:pPr>
            <w:r/>
            <w:r>
              <w:rPr>
                <w:rFonts w:ascii="Arial" w:hAnsi="Arial" w:eastAsia="Arial"/>
                <w:b w:val="0"/>
                <w:i w:val="0"/>
                <w:color w:val="000000"/>
                <w:sz w:val="20"/>
              </w:rPr>
              <w:t>Страховий / гарантійний gap</w:t>
            </w:r>
          </w:p>
        </w:tc>
        <w:tc>
          <w:tcPr>
            <w:tcW w:type="dxa" w:w="1247"/>
          </w:tcPr>
          <w:p>
            <w:pPr>
              <w:jc w:val="left"/>
            </w:pPr>
            <w:r/>
            <w:r>
              <w:rPr>
                <w:rFonts w:ascii="Arial" w:hAnsi="Arial" w:eastAsia="Arial"/>
                <w:b w:val="0"/>
                <w:i w:val="0"/>
                <w:color w:val="000000"/>
                <w:sz w:val="20"/>
              </w:rPr>
              <w:t>відсутність страхування → risk premium → CAPEX delay → нижча локалізація</w:t>
            </w:r>
          </w:p>
        </w:tc>
        <w:tc>
          <w:tcPr>
            <w:tcW w:type="dxa" w:w="1247"/>
          </w:tcPr>
          <w:p>
            <w:pPr>
              <w:jc w:val="left"/>
            </w:pPr>
            <w:r/>
            <w:r>
              <w:rPr>
                <w:rFonts w:ascii="Arial" w:hAnsi="Arial" w:eastAsia="Arial"/>
                <w:b w:val="0"/>
                <w:i w:val="0"/>
                <w:color w:val="000000"/>
                <w:sz w:val="20"/>
              </w:rPr>
              <w:t>P02; P04</w:t>
            </w:r>
          </w:p>
        </w:tc>
        <w:tc>
          <w:tcPr>
            <w:tcW w:type="dxa" w:w="1247"/>
          </w:tcPr>
          <w:p>
            <w:pPr>
              <w:jc w:val="left"/>
            </w:pPr>
            <w:r/>
            <w:r>
              <w:rPr>
                <w:rFonts w:ascii="Arial" w:hAnsi="Arial" w:eastAsia="Arial"/>
                <w:b w:val="0"/>
                <w:i w:val="0"/>
                <w:color w:val="000000"/>
                <w:sz w:val="20"/>
              </w:rPr>
              <w:t>B4; A1-A6; J1</w:t>
            </w:r>
          </w:p>
        </w:tc>
        <w:tc>
          <w:tcPr>
            <w:tcW w:type="dxa" w:w="1247"/>
          </w:tcPr>
          <w:p>
            <w:pPr>
              <w:jc w:val="left"/>
            </w:pPr>
            <w:r/>
            <w:r>
              <w:rPr>
                <w:rFonts w:ascii="Arial" w:hAnsi="Arial" w:eastAsia="Arial"/>
                <w:b w:val="0"/>
                <w:i w:val="0"/>
                <w:color w:val="000000"/>
                <w:sz w:val="20"/>
              </w:rPr>
              <w:t>приватний капітал залишається коротким</w:t>
            </w:r>
          </w:p>
        </w:tc>
        <w:tc>
          <w:tcPr>
            <w:tcW w:type="dxa" w:w="1247"/>
          </w:tcPr>
          <w:p>
            <w:pPr>
              <w:jc w:val="left"/>
            </w:pPr>
            <w:r/>
            <w:r>
              <w:rPr>
                <w:rFonts w:ascii="Arial" w:hAnsi="Arial" w:eastAsia="Arial"/>
                <w:b w:val="0"/>
                <w:i w:val="0"/>
                <w:color w:val="000000"/>
                <w:sz w:val="20"/>
              </w:rPr>
              <w:t>нижчий інвестиційний multiplier</w:t>
            </w:r>
          </w:p>
        </w:tc>
        <w:tc>
          <w:tcPr>
            <w:tcW w:type="dxa" w:w="1247"/>
          </w:tcPr>
          <w:p>
            <w:pPr>
              <w:jc w:val="left"/>
            </w:pPr>
            <w:r/>
            <w:r>
              <w:rPr>
                <w:rFonts w:ascii="Arial" w:hAnsi="Arial" w:eastAsia="Arial"/>
                <w:b w:val="0"/>
                <w:i w:val="0"/>
                <w:color w:val="000000"/>
                <w:sz w:val="20"/>
              </w:rPr>
              <w:t>MIGA/EBRD/IFI гарантії; project preparation</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C06</w:t>
            </w:r>
          </w:p>
        </w:tc>
        <w:tc>
          <w:tcPr>
            <w:tcW w:type="dxa" w:w="1247"/>
          </w:tcPr>
          <w:p>
            <w:pPr>
              <w:jc w:val="left"/>
            </w:pPr>
            <w:r/>
            <w:r>
              <w:rPr>
                <w:rFonts w:ascii="Arial" w:hAnsi="Arial" w:eastAsia="Arial"/>
                <w:b w:val="0"/>
                <w:i w:val="0"/>
                <w:color w:val="000000"/>
                <w:sz w:val="20"/>
              </w:rPr>
              <w:t>CBAM / MRV gap</w:t>
            </w:r>
          </w:p>
        </w:tc>
        <w:tc>
          <w:tcPr>
            <w:tcW w:type="dxa" w:w="1247"/>
          </w:tcPr>
          <w:p>
            <w:pPr>
              <w:jc w:val="left"/>
            </w:pPr>
            <w:r/>
            <w:r>
              <w:rPr>
                <w:rFonts w:ascii="Arial" w:hAnsi="Arial" w:eastAsia="Arial"/>
                <w:b w:val="0"/>
                <w:i w:val="0"/>
                <w:color w:val="000000"/>
                <w:sz w:val="20"/>
              </w:rPr>
              <w:t>розрив звітності → carbon cost / доступ до ринку risk → нижча експортна маржа → менше cashflow на модернізацію</w:t>
            </w:r>
          </w:p>
        </w:tc>
        <w:tc>
          <w:tcPr>
            <w:tcW w:type="dxa" w:w="1247"/>
          </w:tcPr>
          <w:p>
            <w:pPr>
              <w:jc w:val="left"/>
            </w:pPr>
            <w:r/>
            <w:r>
              <w:rPr>
                <w:rFonts w:ascii="Arial" w:hAnsi="Arial" w:eastAsia="Arial"/>
                <w:b w:val="0"/>
                <w:i w:val="0"/>
                <w:color w:val="000000"/>
                <w:sz w:val="20"/>
              </w:rPr>
              <w:t>P10</w:t>
            </w:r>
          </w:p>
        </w:tc>
        <w:tc>
          <w:tcPr>
            <w:tcW w:type="dxa" w:w="1247"/>
          </w:tcPr>
          <w:p>
            <w:pPr>
              <w:jc w:val="left"/>
            </w:pPr>
            <w:r/>
            <w:r>
              <w:rPr>
                <w:rFonts w:ascii="Arial" w:hAnsi="Arial" w:eastAsia="Arial"/>
                <w:b w:val="0"/>
                <w:i w:val="0"/>
                <w:color w:val="000000"/>
                <w:sz w:val="20"/>
              </w:rPr>
              <w:t>A1; A3; A5; V4</w:t>
            </w:r>
          </w:p>
        </w:tc>
        <w:tc>
          <w:tcPr>
            <w:tcW w:type="dxa" w:w="1247"/>
          </w:tcPr>
          <w:p>
            <w:pPr>
              <w:jc w:val="left"/>
            </w:pPr>
            <w:r/>
            <w:r>
              <w:rPr>
                <w:rFonts w:ascii="Arial" w:hAnsi="Arial" w:eastAsia="Arial"/>
                <w:b w:val="0"/>
                <w:i w:val="0"/>
                <w:color w:val="000000"/>
                <w:sz w:val="20"/>
              </w:rPr>
              <w:t>конкурентоспроможність падає</w:t>
            </w:r>
          </w:p>
        </w:tc>
        <w:tc>
          <w:tcPr>
            <w:tcW w:type="dxa" w:w="1247"/>
          </w:tcPr>
          <w:p>
            <w:pPr>
              <w:jc w:val="left"/>
            </w:pPr>
            <w:r/>
            <w:r>
              <w:rPr>
                <w:rFonts w:ascii="Arial" w:hAnsi="Arial" w:eastAsia="Arial"/>
                <w:b w:val="0"/>
                <w:i w:val="0"/>
                <w:color w:val="000000"/>
                <w:sz w:val="20"/>
              </w:rPr>
              <w:t>прибутковість і податки нижчі</w:t>
            </w:r>
          </w:p>
        </w:tc>
        <w:tc>
          <w:tcPr>
            <w:tcW w:type="dxa" w:w="1247"/>
          </w:tcPr>
          <w:p>
            <w:pPr>
              <w:jc w:val="left"/>
            </w:pPr>
            <w:r/>
            <w:r>
              <w:rPr>
                <w:rFonts w:ascii="Arial" w:hAnsi="Arial" w:eastAsia="Arial"/>
                <w:b w:val="0"/>
                <w:i w:val="0"/>
                <w:color w:val="000000"/>
                <w:sz w:val="20"/>
              </w:rPr>
              <w:t>carbon accounting; certification; green finance</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C07</w:t>
            </w:r>
          </w:p>
        </w:tc>
        <w:tc>
          <w:tcPr>
            <w:tcW w:type="dxa" w:w="1247"/>
          </w:tcPr>
          <w:p>
            <w:pPr>
              <w:jc w:val="left"/>
            </w:pPr>
            <w:r/>
            <w:r>
              <w:rPr>
                <w:rFonts w:ascii="Arial" w:hAnsi="Arial" w:eastAsia="Arial"/>
                <w:b w:val="0"/>
                <w:i w:val="0"/>
                <w:color w:val="000000"/>
                <w:sz w:val="20"/>
              </w:rPr>
              <w:t>Проєктна готовність</w:t>
            </w:r>
          </w:p>
        </w:tc>
        <w:tc>
          <w:tcPr>
            <w:tcW w:type="dxa" w:w="1247"/>
          </w:tcPr>
          <w:p>
            <w:pPr>
              <w:jc w:val="left"/>
            </w:pPr>
            <w:r/>
            <w:r>
              <w:rPr>
                <w:rFonts w:ascii="Arial" w:hAnsi="Arial" w:eastAsia="Arial"/>
                <w:b w:val="0"/>
                <w:i w:val="0"/>
                <w:color w:val="000000"/>
                <w:sz w:val="20"/>
              </w:rPr>
              <w:t>non-bankable projects → повільне фінансування → слабкий local content → нижчий multiplier</w:t>
            </w:r>
          </w:p>
        </w:tc>
        <w:tc>
          <w:tcPr>
            <w:tcW w:type="dxa" w:w="1247"/>
          </w:tcPr>
          <w:p>
            <w:pPr>
              <w:jc w:val="left"/>
            </w:pPr>
            <w:r/>
            <w:r>
              <w:rPr>
                <w:rFonts w:ascii="Arial" w:hAnsi="Arial" w:eastAsia="Arial"/>
                <w:b w:val="0"/>
                <w:i w:val="0"/>
                <w:color w:val="000000"/>
                <w:sz w:val="20"/>
              </w:rPr>
              <w:t>P08; P09</w:t>
            </w:r>
          </w:p>
        </w:tc>
        <w:tc>
          <w:tcPr>
            <w:tcW w:type="dxa" w:w="1247"/>
          </w:tcPr>
          <w:p>
            <w:pPr>
              <w:jc w:val="left"/>
            </w:pPr>
            <w:r/>
            <w:r>
              <w:rPr>
                <w:rFonts w:ascii="Arial" w:hAnsi="Arial" w:eastAsia="Arial"/>
                <w:b w:val="0"/>
                <w:i w:val="0"/>
                <w:color w:val="000000"/>
                <w:sz w:val="20"/>
              </w:rPr>
              <w:t>A5; B2; G1; G2; V3</w:t>
            </w:r>
          </w:p>
        </w:tc>
        <w:tc>
          <w:tcPr>
            <w:tcW w:type="dxa" w:w="1247"/>
          </w:tcPr>
          <w:p>
            <w:pPr>
              <w:jc w:val="left"/>
            </w:pPr>
            <w:r/>
            <w:r>
              <w:rPr>
                <w:rFonts w:ascii="Arial" w:hAnsi="Arial" w:eastAsia="Arial"/>
                <w:b w:val="0"/>
                <w:i w:val="0"/>
                <w:color w:val="000000"/>
                <w:sz w:val="20"/>
              </w:rPr>
              <w:t>кошти не переходять у output</w:t>
            </w:r>
          </w:p>
        </w:tc>
        <w:tc>
          <w:tcPr>
            <w:tcW w:type="dxa" w:w="1247"/>
          </w:tcPr>
          <w:p>
            <w:pPr>
              <w:jc w:val="left"/>
            </w:pPr>
            <w:r/>
            <w:r>
              <w:rPr>
                <w:rFonts w:ascii="Arial" w:hAnsi="Arial" w:eastAsia="Arial"/>
                <w:b w:val="0"/>
                <w:i w:val="0"/>
                <w:color w:val="000000"/>
                <w:sz w:val="20"/>
              </w:rPr>
              <w:t>мультиплікатор нижчий</w:t>
            </w:r>
          </w:p>
        </w:tc>
        <w:tc>
          <w:tcPr>
            <w:tcW w:type="dxa" w:w="1247"/>
          </w:tcPr>
          <w:p>
            <w:pPr>
              <w:jc w:val="left"/>
            </w:pPr>
            <w:r/>
            <w:r>
              <w:rPr>
                <w:rFonts w:ascii="Arial" w:hAnsi="Arial" w:eastAsia="Arial"/>
                <w:b w:val="0"/>
                <w:i w:val="0"/>
                <w:color w:val="000000"/>
                <w:sz w:val="20"/>
              </w:rPr>
              <w:t>project facility; permits; procurement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C08</w:t>
            </w:r>
          </w:p>
        </w:tc>
        <w:tc>
          <w:tcPr>
            <w:tcW w:type="dxa" w:w="1247"/>
          </w:tcPr>
          <w:p>
            <w:pPr>
              <w:jc w:val="left"/>
            </w:pPr>
            <w:r/>
            <w:r>
              <w:rPr>
                <w:rFonts w:ascii="Arial" w:hAnsi="Arial" w:eastAsia="Arial"/>
                <w:b w:val="0"/>
                <w:i w:val="0"/>
                <w:color w:val="000000"/>
                <w:sz w:val="20"/>
              </w:rPr>
              <w:t>Глобальний ринковий шок</w:t>
            </w:r>
          </w:p>
        </w:tc>
        <w:tc>
          <w:tcPr>
            <w:tcW w:type="dxa" w:w="1247"/>
          </w:tcPr>
          <w:p>
            <w:pPr>
              <w:jc w:val="left"/>
            </w:pPr>
            <w:r/>
            <w:r>
              <w:rPr>
                <w:rFonts w:ascii="Arial" w:hAnsi="Arial" w:eastAsia="Arial"/>
                <w:b w:val="0"/>
                <w:i w:val="0"/>
                <w:color w:val="000000"/>
                <w:sz w:val="20"/>
              </w:rPr>
              <w:t>зміна цін/попиту → зміна маржі → відкладений або прискорений CAPEX</w:t>
            </w:r>
          </w:p>
        </w:tc>
        <w:tc>
          <w:tcPr>
            <w:tcW w:type="dxa" w:w="1247"/>
          </w:tcPr>
          <w:p>
            <w:pPr>
              <w:jc w:val="left"/>
            </w:pPr>
            <w:r/>
            <w:r>
              <w:rPr>
                <w:rFonts w:ascii="Arial" w:hAnsi="Arial" w:eastAsia="Arial"/>
                <w:b w:val="0"/>
                <w:i w:val="0"/>
                <w:color w:val="000000"/>
                <w:sz w:val="20"/>
              </w:rPr>
              <w:t>P05; P10</w:t>
            </w:r>
          </w:p>
        </w:tc>
        <w:tc>
          <w:tcPr>
            <w:tcW w:type="dxa" w:w="1247"/>
          </w:tcPr>
          <w:p>
            <w:pPr>
              <w:jc w:val="left"/>
            </w:pPr>
            <w:r/>
            <w:r>
              <w:rPr>
                <w:rFonts w:ascii="Arial" w:hAnsi="Arial" w:eastAsia="Arial"/>
                <w:b w:val="0"/>
                <w:i w:val="0"/>
                <w:color w:val="000000"/>
                <w:sz w:val="20"/>
              </w:rPr>
              <w:t>A1; A3; A6; V4</w:t>
            </w:r>
          </w:p>
        </w:tc>
        <w:tc>
          <w:tcPr>
            <w:tcW w:type="dxa" w:w="1247"/>
          </w:tcPr>
          <w:p>
            <w:pPr>
              <w:jc w:val="left"/>
            </w:pPr>
            <w:r/>
            <w:r>
              <w:rPr>
                <w:rFonts w:ascii="Arial" w:hAnsi="Arial" w:eastAsia="Arial"/>
                <w:b w:val="0"/>
                <w:i w:val="0"/>
                <w:color w:val="000000"/>
                <w:sz w:val="20"/>
              </w:rPr>
              <w:t>маржа експорту змінюється</w:t>
            </w:r>
          </w:p>
        </w:tc>
        <w:tc>
          <w:tcPr>
            <w:tcW w:type="dxa" w:w="1247"/>
          </w:tcPr>
          <w:p>
            <w:pPr>
              <w:jc w:val="left"/>
            </w:pPr>
            <w:r/>
            <w:r>
              <w:rPr>
                <w:rFonts w:ascii="Arial" w:hAnsi="Arial" w:eastAsia="Arial"/>
                <w:b w:val="0"/>
                <w:i w:val="0"/>
                <w:color w:val="000000"/>
                <w:sz w:val="20"/>
              </w:rPr>
              <w:t>FX і фіскальні надходження коливаються</w:t>
            </w:r>
          </w:p>
        </w:tc>
        <w:tc>
          <w:tcPr>
            <w:tcW w:type="dxa" w:w="1247"/>
          </w:tcPr>
          <w:p>
            <w:pPr>
              <w:jc w:val="left"/>
            </w:pPr>
            <w:r/>
            <w:r>
              <w:rPr>
                <w:rFonts w:ascii="Arial" w:hAnsi="Arial" w:eastAsia="Arial"/>
                <w:b w:val="0"/>
                <w:i w:val="0"/>
                <w:color w:val="000000"/>
                <w:sz w:val="20"/>
              </w:rPr>
              <w:t>диверсифікація; довгі контракти; market intelligence</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Порогові індикатори і ранні сигнали</w:t>
      </w:r>
    </w:p>
    <w:p>
      <w:pPr>
        <w:jc w:val="both"/>
      </w:pPr>
      <w:r>
        <w:rPr>
          <w:rFonts w:ascii="Arial" w:hAnsi="Arial" w:eastAsia="Arial"/>
          <w:b w:val="0"/>
          <w:i w:val="0"/>
          <w:color w:val="000000"/>
          <w:sz w:val="24"/>
        </w:rPr>
        <w:t>Поріг перетворює ризик на управлінську дію. [1] Без порогу score лишається аналітичною оцінкою; з порогом він показує, коли потрібна зміна фінансування, procurement, енергетичного плану, логістичного маршруту або risk-sharing інструменту.</w:t>
      </w:r>
    </w:p>
    <w:tbl>
      <w:tblPr>
        <w:tblStyle w:val="TableGrid"/>
        <w:tblW w:type="auto" w:w="0"/>
        <w:jc w:val="left"/>
        <w:tblLayout w:type="fixed"/>
        <w:tblLook w:firstColumn="1" w:firstRow="1" w:lastColumn="0" w:lastRow="0" w:noHBand="0" w:noVBand="1" w:val="04A0"/>
      </w:tblPr>
      <w:tblGrid>
        <w:gridCol w:w="1392"/>
        <w:gridCol w:w="1392"/>
        <w:gridCol w:w="1392"/>
        <w:gridCol w:w="1392"/>
        <w:gridCol w:w="1392"/>
        <w:gridCol w:w="1392"/>
        <w:gridCol w:w="1392"/>
      </w:tblGrid>
      <w:tr>
        <w:tc>
          <w:tcPr>
            <w:tcW w:type="dxa" w:w="2041"/>
          </w:tcPr>
          <w:p>
            <w:pPr>
              <w:jc w:val="left"/>
            </w:pPr>
            <w:r/>
            <w:r>
              <w:rPr>
                <w:rFonts w:ascii="Arial" w:hAnsi="Arial" w:eastAsia="Arial"/>
                <w:b/>
                <w:i w:val="0"/>
                <w:color w:val="000000"/>
                <w:sz w:val="20"/>
              </w:rPr>
              <w:t>Індикатор</w:t>
            </w:r>
          </w:p>
        </w:tc>
        <w:tc>
          <w:tcPr>
            <w:tcW w:type="dxa" w:w="1247"/>
          </w:tcPr>
          <w:p>
            <w:pPr>
              <w:jc w:val="left"/>
            </w:pPr>
            <w:r/>
            <w:r>
              <w:rPr>
                <w:rFonts w:ascii="Arial" w:hAnsi="Arial" w:eastAsia="Arial"/>
                <w:b/>
                <w:i w:val="0"/>
                <w:color w:val="000000"/>
                <w:sz w:val="20"/>
              </w:rPr>
              <w:t>Зелений поріг</w:t>
            </w:r>
          </w:p>
        </w:tc>
        <w:tc>
          <w:tcPr>
            <w:tcW w:type="dxa" w:w="1247"/>
          </w:tcPr>
          <w:p>
            <w:pPr>
              <w:jc w:val="left"/>
            </w:pPr>
            <w:r/>
            <w:r>
              <w:rPr>
                <w:rFonts w:ascii="Arial" w:hAnsi="Arial" w:eastAsia="Arial"/>
                <w:b/>
                <w:i w:val="0"/>
                <w:color w:val="000000"/>
                <w:sz w:val="20"/>
              </w:rPr>
              <w:t>Жовтий поріг</w:t>
            </w:r>
          </w:p>
        </w:tc>
        <w:tc>
          <w:tcPr>
            <w:tcW w:type="dxa" w:w="1247"/>
          </w:tcPr>
          <w:p>
            <w:pPr>
              <w:jc w:val="left"/>
            </w:pPr>
            <w:r/>
            <w:r>
              <w:rPr>
                <w:rFonts w:ascii="Arial" w:hAnsi="Arial" w:eastAsia="Arial"/>
                <w:b/>
                <w:i w:val="0"/>
                <w:color w:val="000000"/>
                <w:sz w:val="20"/>
              </w:rPr>
              <w:t>Червоний поріг</w:t>
            </w:r>
          </w:p>
        </w:tc>
        <w:tc>
          <w:tcPr>
            <w:tcW w:type="dxa" w:w="1247"/>
          </w:tcPr>
          <w:p>
            <w:pPr>
              <w:jc w:val="left"/>
            </w:pPr>
            <w:r/>
            <w:r>
              <w:rPr>
                <w:rFonts w:ascii="Arial" w:hAnsi="Arial" w:eastAsia="Arial"/>
                <w:b/>
                <w:i w:val="0"/>
                <w:color w:val="000000"/>
                <w:sz w:val="20"/>
              </w:rPr>
              <w:t>Параметр</w:t>
            </w:r>
          </w:p>
        </w:tc>
        <w:tc>
          <w:tcPr>
            <w:tcW w:type="dxa" w:w="1247"/>
          </w:tcPr>
          <w:p>
            <w:pPr>
              <w:jc w:val="left"/>
            </w:pPr>
            <w:r/>
            <w:r>
              <w:rPr>
                <w:rFonts w:ascii="Arial" w:hAnsi="Arial" w:eastAsia="Arial"/>
                <w:b/>
                <w:i w:val="0"/>
                <w:color w:val="000000"/>
                <w:sz w:val="20"/>
              </w:rPr>
              <w:t>Дія</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Години промислових відключень</w:t>
            </w:r>
          </w:p>
        </w:tc>
        <w:tc>
          <w:tcPr>
            <w:tcW w:type="dxa" w:w="1247"/>
          </w:tcPr>
          <w:p>
            <w:pPr>
              <w:jc w:val="left"/>
            </w:pPr>
            <w:r/>
            <w:r>
              <w:rPr>
                <w:rFonts w:ascii="Arial" w:hAnsi="Arial" w:eastAsia="Arial"/>
                <w:b w:val="0"/>
                <w:i w:val="0"/>
                <w:color w:val="000000"/>
                <w:sz w:val="20"/>
              </w:rPr>
              <w:t>&lt;2 год/тиждень</w:t>
            </w:r>
          </w:p>
        </w:tc>
        <w:tc>
          <w:tcPr>
            <w:tcW w:type="dxa" w:w="1247"/>
          </w:tcPr>
          <w:p>
            <w:pPr>
              <w:jc w:val="left"/>
            </w:pPr>
            <w:r/>
            <w:r>
              <w:rPr>
                <w:rFonts w:ascii="Arial" w:hAnsi="Arial" w:eastAsia="Arial"/>
                <w:b w:val="0"/>
                <w:i w:val="0"/>
                <w:color w:val="000000"/>
                <w:sz w:val="20"/>
              </w:rPr>
              <w:t>2-8 год/тиждень</w:t>
            </w:r>
          </w:p>
        </w:tc>
        <w:tc>
          <w:tcPr>
            <w:tcW w:type="dxa" w:w="1247"/>
          </w:tcPr>
          <w:p>
            <w:pPr>
              <w:jc w:val="left"/>
            </w:pPr>
            <w:r/>
            <w:r>
              <w:rPr>
                <w:rFonts w:ascii="Arial" w:hAnsi="Arial" w:eastAsia="Arial"/>
                <w:b w:val="0"/>
                <w:i w:val="0"/>
                <w:color w:val="000000"/>
                <w:sz w:val="20"/>
              </w:rPr>
              <w:t>&gt;8 год/тиждень</w:t>
            </w:r>
          </w:p>
        </w:tc>
        <w:tc>
          <w:tcPr>
            <w:tcW w:type="dxa" w:w="1247"/>
          </w:tcPr>
          <w:p>
            <w:pPr>
              <w:jc w:val="left"/>
            </w:pPr>
            <w:r/>
            <w:r>
              <w:rPr>
                <w:rFonts w:ascii="Arial" w:hAnsi="Arial" w:eastAsia="Arial"/>
                <w:b w:val="0"/>
                <w:i w:val="0"/>
                <w:color w:val="000000"/>
                <w:sz w:val="20"/>
              </w:rPr>
              <w:t>P01; P07</w:t>
            </w:r>
          </w:p>
        </w:tc>
        <w:tc>
          <w:tcPr>
            <w:tcW w:type="dxa" w:w="1247"/>
          </w:tcPr>
          <w:p>
            <w:pPr>
              <w:jc w:val="left"/>
            </w:pPr>
            <w:r/>
            <w:r>
              <w:rPr>
                <w:rFonts w:ascii="Arial" w:hAnsi="Arial" w:eastAsia="Arial"/>
                <w:b w:val="0"/>
                <w:i w:val="0"/>
                <w:color w:val="000000"/>
                <w:sz w:val="20"/>
              </w:rPr>
              <w:t>зменшити energy score; запустити промислові контракти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Ціновий шок промислової електроенергії</w:t>
            </w:r>
          </w:p>
        </w:tc>
        <w:tc>
          <w:tcPr>
            <w:tcW w:type="dxa" w:w="1247"/>
          </w:tcPr>
          <w:p>
            <w:pPr>
              <w:jc w:val="left"/>
            </w:pPr>
            <w:r/>
            <w:r>
              <w:rPr>
                <w:rFonts w:ascii="Arial" w:hAnsi="Arial" w:eastAsia="Arial"/>
                <w:b w:val="0"/>
                <w:i w:val="0"/>
                <w:color w:val="000000"/>
                <w:sz w:val="20"/>
              </w:rPr>
              <w:t>&lt;10% кв/кв</w:t>
            </w:r>
          </w:p>
        </w:tc>
        <w:tc>
          <w:tcPr>
            <w:tcW w:type="dxa" w:w="1247"/>
          </w:tcPr>
          <w:p>
            <w:pPr>
              <w:jc w:val="left"/>
            </w:pPr>
            <w:r/>
            <w:r>
              <w:rPr>
                <w:rFonts w:ascii="Arial" w:hAnsi="Arial" w:eastAsia="Arial"/>
                <w:b w:val="0"/>
                <w:i w:val="0"/>
                <w:color w:val="000000"/>
                <w:sz w:val="20"/>
              </w:rPr>
              <w:t>10-25% кв/кв</w:t>
            </w:r>
          </w:p>
        </w:tc>
        <w:tc>
          <w:tcPr>
            <w:tcW w:type="dxa" w:w="1247"/>
          </w:tcPr>
          <w:p>
            <w:pPr>
              <w:jc w:val="left"/>
            </w:pPr>
            <w:r/>
            <w:r>
              <w:rPr>
                <w:rFonts w:ascii="Arial" w:hAnsi="Arial" w:eastAsia="Arial"/>
                <w:b w:val="0"/>
                <w:i w:val="0"/>
                <w:color w:val="000000"/>
                <w:sz w:val="20"/>
              </w:rPr>
              <w:t>&gt;25% кв/кв</w:t>
            </w:r>
          </w:p>
        </w:tc>
        <w:tc>
          <w:tcPr>
            <w:tcW w:type="dxa" w:w="1247"/>
          </w:tcPr>
          <w:p>
            <w:pPr>
              <w:jc w:val="left"/>
            </w:pPr>
            <w:r/>
            <w:r>
              <w:rPr>
                <w:rFonts w:ascii="Arial" w:hAnsi="Arial" w:eastAsia="Arial"/>
                <w:b w:val="0"/>
                <w:i w:val="0"/>
                <w:color w:val="000000"/>
                <w:sz w:val="20"/>
              </w:rPr>
              <w:t>P01; P07</w:t>
            </w:r>
          </w:p>
        </w:tc>
        <w:tc>
          <w:tcPr>
            <w:tcW w:type="dxa" w:w="1247"/>
          </w:tcPr>
          <w:p>
            <w:pPr>
              <w:jc w:val="left"/>
            </w:pPr>
            <w:r/>
            <w:r>
              <w:rPr>
                <w:rFonts w:ascii="Arial" w:hAnsi="Arial" w:eastAsia="Arial"/>
                <w:b w:val="0"/>
                <w:i w:val="0"/>
                <w:color w:val="000000"/>
                <w:sz w:val="20"/>
              </w:rPr>
              <w:t>підвищити cost shock; переглянути energy-dependent sectors</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Зовнішня допомога отримана vs план</w:t>
            </w:r>
          </w:p>
        </w:tc>
        <w:tc>
          <w:tcPr>
            <w:tcW w:type="dxa" w:w="1247"/>
          </w:tcPr>
          <w:p>
            <w:pPr>
              <w:jc w:val="left"/>
            </w:pPr>
            <w:r/>
            <w:r>
              <w:rPr>
                <w:rFonts w:ascii="Arial" w:hAnsi="Arial" w:eastAsia="Arial"/>
                <w:b w:val="0"/>
                <w:i w:val="0"/>
                <w:color w:val="000000"/>
                <w:sz w:val="20"/>
              </w:rPr>
              <w:t>&gt;90%</w:t>
            </w:r>
          </w:p>
        </w:tc>
        <w:tc>
          <w:tcPr>
            <w:tcW w:type="dxa" w:w="1247"/>
          </w:tcPr>
          <w:p>
            <w:pPr>
              <w:jc w:val="left"/>
            </w:pPr>
            <w:r/>
            <w:r>
              <w:rPr>
                <w:rFonts w:ascii="Arial" w:hAnsi="Arial" w:eastAsia="Arial"/>
                <w:b w:val="0"/>
                <w:i w:val="0"/>
                <w:color w:val="000000"/>
                <w:sz w:val="20"/>
              </w:rPr>
              <w:t>75-90%</w:t>
            </w:r>
          </w:p>
        </w:tc>
        <w:tc>
          <w:tcPr>
            <w:tcW w:type="dxa" w:w="1247"/>
          </w:tcPr>
          <w:p>
            <w:pPr>
              <w:jc w:val="left"/>
            </w:pPr>
            <w:r/>
            <w:r>
              <w:rPr>
                <w:rFonts w:ascii="Arial" w:hAnsi="Arial" w:eastAsia="Arial"/>
                <w:b w:val="0"/>
                <w:i w:val="0"/>
                <w:color w:val="000000"/>
                <w:sz w:val="20"/>
              </w:rPr>
              <w:t>&lt;75%</w:t>
            </w:r>
          </w:p>
        </w:tc>
        <w:tc>
          <w:tcPr>
            <w:tcW w:type="dxa" w:w="1247"/>
          </w:tcPr>
          <w:p>
            <w:pPr>
              <w:jc w:val="left"/>
            </w:pPr>
            <w:r/>
            <w:r>
              <w:rPr>
                <w:rFonts w:ascii="Arial" w:hAnsi="Arial" w:eastAsia="Arial"/>
                <w:b w:val="0"/>
                <w:i w:val="0"/>
                <w:color w:val="000000"/>
                <w:sz w:val="20"/>
              </w:rPr>
              <w:t>P03</w:t>
            </w:r>
          </w:p>
        </w:tc>
        <w:tc>
          <w:tcPr>
            <w:tcW w:type="dxa" w:w="1247"/>
          </w:tcPr>
          <w:p>
            <w:pPr>
              <w:jc w:val="left"/>
            </w:pPr>
            <w:r/>
            <w:r>
              <w:rPr>
                <w:rFonts w:ascii="Arial" w:hAnsi="Arial" w:eastAsia="Arial"/>
                <w:b w:val="0"/>
                <w:i w:val="0"/>
                <w:color w:val="000000"/>
                <w:sz w:val="20"/>
              </w:rPr>
              <w:t>підвищити фіскальний ризик; активувати bridge finance</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Експортна пропускна спроможність vs план</w:t>
            </w:r>
          </w:p>
        </w:tc>
        <w:tc>
          <w:tcPr>
            <w:tcW w:type="dxa" w:w="1247"/>
          </w:tcPr>
          <w:p>
            <w:pPr>
              <w:jc w:val="left"/>
            </w:pPr>
            <w:r/>
            <w:r>
              <w:rPr>
                <w:rFonts w:ascii="Arial" w:hAnsi="Arial" w:eastAsia="Arial"/>
                <w:b w:val="0"/>
                <w:i w:val="0"/>
                <w:color w:val="000000"/>
                <w:sz w:val="20"/>
              </w:rPr>
              <w:t>&gt;95%</w:t>
            </w:r>
          </w:p>
        </w:tc>
        <w:tc>
          <w:tcPr>
            <w:tcW w:type="dxa" w:w="1247"/>
          </w:tcPr>
          <w:p>
            <w:pPr>
              <w:jc w:val="left"/>
            </w:pPr>
            <w:r/>
            <w:r>
              <w:rPr>
                <w:rFonts w:ascii="Arial" w:hAnsi="Arial" w:eastAsia="Arial"/>
                <w:b w:val="0"/>
                <w:i w:val="0"/>
                <w:color w:val="000000"/>
                <w:sz w:val="20"/>
              </w:rPr>
              <w:t>80-95%</w:t>
            </w:r>
          </w:p>
        </w:tc>
        <w:tc>
          <w:tcPr>
            <w:tcW w:type="dxa" w:w="1247"/>
          </w:tcPr>
          <w:p>
            <w:pPr>
              <w:jc w:val="left"/>
            </w:pPr>
            <w:r/>
            <w:r>
              <w:rPr>
                <w:rFonts w:ascii="Arial" w:hAnsi="Arial" w:eastAsia="Arial"/>
                <w:b w:val="0"/>
                <w:i w:val="0"/>
                <w:color w:val="000000"/>
                <w:sz w:val="20"/>
              </w:rPr>
              <w:t>&lt;80%</w:t>
            </w:r>
          </w:p>
        </w:tc>
        <w:tc>
          <w:tcPr>
            <w:tcW w:type="dxa" w:w="1247"/>
          </w:tcPr>
          <w:p>
            <w:pPr>
              <w:jc w:val="left"/>
            </w:pPr>
            <w:r/>
            <w:r>
              <w:rPr>
                <w:rFonts w:ascii="Arial" w:hAnsi="Arial" w:eastAsia="Arial"/>
                <w:b w:val="0"/>
                <w:i w:val="0"/>
                <w:color w:val="000000"/>
                <w:sz w:val="20"/>
              </w:rPr>
              <w:t>P05</w:t>
            </w:r>
          </w:p>
        </w:tc>
        <w:tc>
          <w:tcPr>
            <w:tcW w:type="dxa" w:w="1247"/>
          </w:tcPr>
          <w:p>
            <w:pPr>
              <w:jc w:val="left"/>
            </w:pPr>
            <w:r/>
            <w:r>
              <w:rPr>
                <w:rFonts w:ascii="Arial" w:hAnsi="Arial" w:eastAsia="Arial"/>
                <w:b w:val="0"/>
                <w:i w:val="0"/>
                <w:color w:val="000000"/>
                <w:sz w:val="20"/>
              </w:rPr>
              <w:t>перерахувати export sectors і current-account score</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Закриття технічних вакансій</w:t>
            </w:r>
          </w:p>
        </w:tc>
        <w:tc>
          <w:tcPr>
            <w:tcW w:type="dxa" w:w="1247"/>
          </w:tcPr>
          <w:p>
            <w:pPr>
              <w:jc w:val="left"/>
            </w:pPr>
            <w:r/>
            <w:r>
              <w:rPr>
                <w:rFonts w:ascii="Arial" w:hAnsi="Arial" w:eastAsia="Arial"/>
                <w:b w:val="0"/>
                <w:i w:val="0"/>
                <w:color w:val="000000"/>
                <w:sz w:val="20"/>
              </w:rPr>
              <w:t>&gt;80%</w:t>
            </w:r>
          </w:p>
        </w:tc>
        <w:tc>
          <w:tcPr>
            <w:tcW w:type="dxa" w:w="1247"/>
          </w:tcPr>
          <w:p>
            <w:pPr>
              <w:jc w:val="left"/>
            </w:pPr>
            <w:r/>
            <w:r>
              <w:rPr>
                <w:rFonts w:ascii="Arial" w:hAnsi="Arial" w:eastAsia="Arial"/>
                <w:b w:val="0"/>
                <w:i w:val="0"/>
                <w:color w:val="000000"/>
                <w:sz w:val="20"/>
              </w:rPr>
              <w:t>60-80%</w:t>
            </w:r>
          </w:p>
        </w:tc>
        <w:tc>
          <w:tcPr>
            <w:tcW w:type="dxa" w:w="1247"/>
          </w:tcPr>
          <w:p>
            <w:pPr>
              <w:jc w:val="left"/>
            </w:pPr>
            <w:r/>
            <w:r>
              <w:rPr>
                <w:rFonts w:ascii="Arial" w:hAnsi="Arial" w:eastAsia="Arial"/>
                <w:b w:val="0"/>
                <w:i w:val="0"/>
                <w:color w:val="000000"/>
                <w:sz w:val="20"/>
              </w:rPr>
              <w:t>&lt;60%</w:t>
            </w:r>
          </w:p>
        </w:tc>
        <w:tc>
          <w:tcPr>
            <w:tcW w:type="dxa" w:w="1247"/>
          </w:tcPr>
          <w:p>
            <w:pPr>
              <w:jc w:val="left"/>
            </w:pPr>
            <w:r/>
            <w:r>
              <w:rPr>
                <w:rFonts w:ascii="Arial" w:hAnsi="Arial" w:eastAsia="Arial"/>
                <w:b w:val="0"/>
                <w:i w:val="0"/>
                <w:color w:val="000000"/>
                <w:sz w:val="20"/>
              </w:rPr>
              <w:t>P06</w:t>
            </w:r>
          </w:p>
        </w:tc>
        <w:tc>
          <w:tcPr>
            <w:tcW w:type="dxa" w:w="1247"/>
          </w:tcPr>
          <w:p>
            <w:pPr>
              <w:jc w:val="left"/>
            </w:pPr>
            <w:r/>
            <w:r>
              <w:rPr>
                <w:rFonts w:ascii="Arial" w:hAnsi="Arial" w:eastAsia="Arial"/>
                <w:b w:val="0"/>
                <w:i w:val="0"/>
                <w:color w:val="000000"/>
                <w:sz w:val="20"/>
              </w:rPr>
              <w:t>затримати project execution і labour capacity</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Частка CAPEX зі страхуванням/гарантіями</w:t>
            </w:r>
          </w:p>
        </w:tc>
        <w:tc>
          <w:tcPr>
            <w:tcW w:type="dxa" w:w="1247"/>
          </w:tcPr>
          <w:p>
            <w:pPr>
              <w:jc w:val="left"/>
            </w:pPr>
            <w:r/>
            <w:r>
              <w:rPr>
                <w:rFonts w:ascii="Arial" w:hAnsi="Arial" w:eastAsia="Arial"/>
                <w:b w:val="0"/>
                <w:i w:val="0"/>
                <w:color w:val="000000"/>
                <w:sz w:val="20"/>
              </w:rPr>
              <w:t>&gt;60%</w:t>
            </w:r>
          </w:p>
        </w:tc>
        <w:tc>
          <w:tcPr>
            <w:tcW w:type="dxa" w:w="1247"/>
          </w:tcPr>
          <w:p>
            <w:pPr>
              <w:jc w:val="left"/>
            </w:pPr>
            <w:r/>
            <w:r>
              <w:rPr>
                <w:rFonts w:ascii="Arial" w:hAnsi="Arial" w:eastAsia="Arial"/>
                <w:b w:val="0"/>
                <w:i w:val="0"/>
                <w:color w:val="000000"/>
                <w:sz w:val="20"/>
              </w:rPr>
              <w:t>30-60%</w:t>
            </w:r>
          </w:p>
        </w:tc>
        <w:tc>
          <w:tcPr>
            <w:tcW w:type="dxa" w:w="1247"/>
          </w:tcPr>
          <w:p>
            <w:pPr>
              <w:jc w:val="left"/>
            </w:pPr>
            <w:r/>
            <w:r>
              <w:rPr>
                <w:rFonts w:ascii="Arial" w:hAnsi="Arial" w:eastAsia="Arial"/>
                <w:b w:val="0"/>
                <w:i w:val="0"/>
                <w:color w:val="000000"/>
                <w:sz w:val="20"/>
              </w:rPr>
              <w:t>&lt;30%</w:t>
            </w:r>
          </w:p>
        </w:tc>
        <w:tc>
          <w:tcPr>
            <w:tcW w:type="dxa" w:w="1247"/>
          </w:tcPr>
          <w:p>
            <w:pPr>
              <w:jc w:val="left"/>
            </w:pPr>
            <w:r/>
            <w:r>
              <w:rPr>
                <w:rFonts w:ascii="Arial" w:hAnsi="Arial" w:eastAsia="Arial"/>
                <w:b w:val="0"/>
                <w:i w:val="0"/>
                <w:color w:val="000000"/>
                <w:sz w:val="20"/>
              </w:rPr>
              <w:t>P04; P02</w:t>
            </w:r>
          </w:p>
        </w:tc>
        <w:tc>
          <w:tcPr>
            <w:tcW w:type="dxa" w:w="1247"/>
          </w:tcPr>
          <w:p>
            <w:pPr>
              <w:jc w:val="left"/>
            </w:pPr>
            <w:r/>
            <w:r>
              <w:rPr>
                <w:rFonts w:ascii="Arial" w:hAnsi="Arial" w:eastAsia="Arial"/>
                <w:b w:val="0"/>
                <w:i w:val="0"/>
                <w:color w:val="000000"/>
                <w:sz w:val="20"/>
              </w:rPr>
              <w:t>підвищити CAPEX drag</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Локальний вміст у відбудові</w:t>
            </w:r>
          </w:p>
        </w:tc>
        <w:tc>
          <w:tcPr>
            <w:tcW w:type="dxa" w:w="1247"/>
          </w:tcPr>
          <w:p>
            <w:pPr>
              <w:jc w:val="left"/>
            </w:pPr>
            <w:r/>
            <w:r>
              <w:rPr>
                <w:rFonts w:ascii="Arial" w:hAnsi="Arial" w:eastAsia="Arial"/>
                <w:b w:val="0"/>
                <w:i w:val="0"/>
                <w:color w:val="000000"/>
                <w:sz w:val="20"/>
              </w:rPr>
              <w:t>&gt;55%</w:t>
            </w:r>
          </w:p>
        </w:tc>
        <w:tc>
          <w:tcPr>
            <w:tcW w:type="dxa" w:w="1247"/>
          </w:tcPr>
          <w:p>
            <w:pPr>
              <w:jc w:val="left"/>
            </w:pPr>
            <w:r/>
            <w:r>
              <w:rPr>
                <w:rFonts w:ascii="Arial" w:hAnsi="Arial" w:eastAsia="Arial"/>
                <w:b w:val="0"/>
                <w:i w:val="0"/>
                <w:color w:val="000000"/>
                <w:sz w:val="20"/>
              </w:rPr>
              <w:t>35-55%</w:t>
            </w:r>
          </w:p>
        </w:tc>
        <w:tc>
          <w:tcPr>
            <w:tcW w:type="dxa" w:w="1247"/>
          </w:tcPr>
          <w:p>
            <w:pPr>
              <w:jc w:val="left"/>
            </w:pPr>
            <w:r/>
            <w:r>
              <w:rPr>
                <w:rFonts w:ascii="Arial" w:hAnsi="Arial" w:eastAsia="Arial"/>
                <w:b w:val="0"/>
                <w:i w:val="0"/>
                <w:color w:val="000000"/>
                <w:sz w:val="20"/>
              </w:rPr>
              <w:t>&lt;35%</w:t>
            </w:r>
          </w:p>
        </w:tc>
        <w:tc>
          <w:tcPr>
            <w:tcW w:type="dxa" w:w="1247"/>
          </w:tcPr>
          <w:p>
            <w:pPr>
              <w:jc w:val="left"/>
            </w:pPr>
            <w:r/>
            <w:r>
              <w:rPr>
                <w:rFonts w:ascii="Arial" w:hAnsi="Arial" w:eastAsia="Arial"/>
                <w:b w:val="0"/>
                <w:i w:val="0"/>
                <w:color w:val="000000"/>
                <w:sz w:val="20"/>
              </w:rPr>
              <w:t>P08; P09</w:t>
            </w:r>
          </w:p>
        </w:tc>
        <w:tc>
          <w:tcPr>
            <w:tcW w:type="dxa" w:w="1247"/>
          </w:tcPr>
          <w:p>
            <w:pPr>
              <w:jc w:val="left"/>
            </w:pPr>
            <w:r/>
            <w:r>
              <w:rPr>
                <w:rFonts w:ascii="Arial" w:hAnsi="Arial" w:eastAsia="Arial"/>
                <w:b w:val="0"/>
                <w:i w:val="0"/>
                <w:color w:val="000000"/>
                <w:sz w:val="20"/>
              </w:rPr>
              <w:t>зменшити local GVA multiplier</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CBAM/MRV готовність</w:t>
            </w:r>
          </w:p>
        </w:tc>
        <w:tc>
          <w:tcPr>
            <w:tcW w:type="dxa" w:w="1247"/>
          </w:tcPr>
          <w:p>
            <w:pPr>
              <w:jc w:val="left"/>
            </w:pPr>
            <w:r/>
            <w:r>
              <w:rPr>
                <w:rFonts w:ascii="Arial" w:hAnsi="Arial" w:eastAsia="Arial"/>
                <w:b w:val="0"/>
                <w:i w:val="0"/>
                <w:color w:val="000000"/>
                <w:sz w:val="20"/>
              </w:rPr>
              <w:t>&gt;80% coverage</w:t>
            </w:r>
          </w:p>
        </w:tc>
        <w:tc>
          <w:tcPr>
            <w:tcW w:type="dxa" w:w="1247"/>
          </w:tcPr>
          <w:p>
            <w:pPr>
              <w:jc w:val="left"/>
            </w:pPr>
            <w:r/>
            <w:r>
              <w:rPr>
                <w:rFonts w:ascii="Arial" w:hAnsi="Arial" w:eastAsia="Arial"/>
                <w:b w:val="0"/>
                <w:i w:val="0"/>
                <w:color w:val="000000"/>
                <w:sz w:val="20"/>
              </w:rPr>
              <w:t>50-80%</w:t>
            </w:r>
          </w:p>
        </w:tc>
        <w:tc>
          <w:tcPr>
            <w:tcW w:type="dxa" w:w="1247"/>
          </w:tcPr>
          <w:p>
            <w:pPr>
              <w:jc w:val="left"/>
            </w:pPr>
            <w:r/>
            <w:r>
              <w:rPr>
                <w:rFonts w:ascii="Arial" w:hAnsi="Arial" w:eastAsia="Arial"/>
                <w:b w:val="0"/>
                <w:i w:val="0"/>
                <w:color w:val="000000"/>
                <w:sz w:val="20"/>
              </w:rPr>
              <w:t>&lt;50%</w:t>
            </w:r>
          </w:p>
        </w:tc>
        <w:tc>
          <w:tcPr>
            <w:tcW w:type="dxa" w:w="1247"/>
          </w:tcPr>
          <w:p>
            <w:pPr>
              <w:jc w:val="left"/>
            </w:pPr>
            <w:r/>
            <w:r>
              <w:rPr>
                <w:rFonts w:ascii="Arial" w:hAnsi="Arial" w:eastAsia="Arial"/>
                <w:b w:val="0"/>
                <w:i w:val="0"/>
                <w:color w:val="000000"/>
                <w:sz w:val="20"/>
              </w:rPr>
              <w:t>P10</w:t>
            </w:r>
          </w:p>
        </w:tc>
        <w:tc>
          <w:tcPr>
            <w:tcW w:type="dxa" w:w="1247"/>
          </w:tcPr>
          <w:p>
            <w:pPr>
              <w:jc w:val="left"/>
            </w:pPr>
            <w:r/>
            <w:r>
              <w:rPr>
                <w:rFonts w:ascii="Arial" w:hAnsi="Arial" w:eastAsia="Arial"/>
                <w:b w:val="0"/>
                <w:i w:val="0"/>
                <w:color w:val="000000"/>
                <w:sz w:val="20"/>
              </w:rPr>
              <w:t>знизити export competitiveness</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Готові bankable projects</w:t>
            </w:r>
          </w:p>
        </w:tc>
        <w:tc>
          <w:tcPr>
            <w:tcW w:type="dxa" w:w="1247"/>
          </w:tcPr>
          <w:p>
            <w:pPr>
              <w:jc w:val="left"/>
            </w:pPr>
            <w:r/>
            <w:r>
              <w:rPr>
                <w:rFonts w:ascii="Arial" w:hAnsi="Arial" w:eastAsia="Arial"/>
                <w:b w:val="0"/>
                <w:i w:val="0"/>
                <w:color w:val="000000"/>
                <w:sz w:val="20"/>
              </w:rPr>
              <w:t>&gt;70%</w:t>
            </w:r>
          </w:p>
        </w:tc>
        <w:tc>
          <w:tcPr>
            <w:tcW w:type="dxa" w:w="1247"/>
          </w:tcPr>
          <w:p>
            <w:pPr>
              <w:jc w:val="left"/>
            </w:pPr>
            <w:r/>
            <w:r>
              <w:rPr>
                <w:rFonts w:ascii="Arial" w:hAnsi="Arial" w:eastAsia="Arial"/>
                <w:b w:val="0"/>
                <w:i w:val="0"/>
                <w:color w:val="000000"/>
                <w:sz w:val="20"/>
              </w:rPr>
              <w:t>40-70%</w:t>
            </w:r>
          </w:p>
        </w:tc>
        <w:tc>
          <w:tcPr>
            <w:tcW w:type="dxa" w:w="1247"/>
          </w:tcPr>
          <w:p>
            <w:pPr>
              <w:jc w:val="left"/>
            </w:pPr>
            <w:r/>
            <w:r>
              <w:rPr>
                <w:rFonts w:ascii="Arial" w:hAnsi="Arial" w:eastAsia="Arial"/>
                <w:b w:val="0"/>
                <w:i w:val="0"/>
                <w:color w:val="000000"/>
                <w:sz w:val="20"/>
              </w:rPr>
              <w:t>&lt;40%</w:t>
            </w:r>
          </w:p>
        </w:tc>
        <w:tc>
          <w:tcPr>
            <w:tcW w:type="dxa" w:w="1247"/>
          </w:tcPr>
          <w:p>
            <w:pPr>
              <w:jc w:val="left"/>
            </w:pPr>
            <w:r/>
            <w:r>
              <w:rPr>
                <w:rFonts w:ascii="Arial" w:hAnsi="Arial" w:eastAsia="Arial"/>
                <w:b w:val="0"/>
                <w:i w:val="0"/>
                <w:color w:val="000000"/>
                <w:sz w:val="20"/>
              </w:rPr>
              <w:t>P09</w:t>
            </w:r>
          </w:p>
        </w:tc>
        <w:tc>
          <w:tcPr>
            <w:tcW w:type="dxa" w:w="1247"/>
          </w:tcPr>
          <w:p>
            <w:pPr>
              <w:jc w:val="left"/>
            </w:pPr>
            <w:r/>
            <w:r>
              <w:rPr>
                <w:rFonts w:ascii="Arial" w:hAnsi="Arial" w:eastAsia="Arial"/>
                <w:b w:val="0"/>
                <w:i w:val="0"/>
                <w:color w:val="000000"/>
                <w:sz w:val="20"/>
              </w:rPr>
              <w:t>затримати disbursement і fiscal effect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Прив’язка публічних джерел</w:t>
            </w:r>
          </w:p>
        </w:tc>
        <w:tc>
          <w:tcPr>
            <w:tcW w:type="dxa" w:w="1247"/>
          </w:tcPr>
          <w:p>
            <w:pPr>
              <w:jc w:val="left"/>
            </w:pPr>
            <w:r/>
            <w:r>
              <w:rPr>
                <w:rFonts w:ascii="Arial" w:hAnsi="Arial" w:eastAsia="Arial"/>
                <w:b w:val="0"/>
                <w:i w:val="0"/>
                <w:color w:val="000000"/>
                <w:sz w:val="20"/>
              </w:rPr>
              <w:t>&gt;95% claim-bound</w:t>
            </w:r>
          </w:p>
        </w:tc>
        <w:tc>
          <w:tcPr>
            <w:tcW w:type="dxa" w:w="1247"/>
          </w:tcPr>
          <w:p>
            <w:pPr>
              <w:jc w:val="left"/>
            </w:pPr>
            <w:r/>
            <w:r>
              <w:rPr>
                <w:rFonts w:ascii="Arial" w:hAnsi="Arial" w:eastAsia="Arial"/>
                <w:b w:val="0"/>
                <w:i w:val="0"/>
                <w:color w:val="000000"/>
                <w:sz w:val="20"/>
              </w:rPr>
              <w:t>85-95%</w:t>
            </w:r>
          </w:p>
        </w:tc>
        <w:tc>
          <w:tcPr>
            <w:tcW w:type="dxa" w:w="1247"/>
          </w:tcPr>
          <w:p>
            <w:pPr>
              <w:jc w:val="left"/>
            </w:pPr>
            <w:r/>
            <w:r>
              <w:rPr>
                <w:rFonts w:ascii="Arial" w:hAnsi="Arial" w:eastAsia="Arial"/>
                <w:b w:val="0"/>
                <w:i w:val="0"/>
                <w:color w:val="000000"/>
                <w:sz w:val="20"/>
              </w:rPr>
              <w:t>&lt;85%</w:t>
            </w:r>
          </w:p>
        </w:tc>
        <w:tc>
          <w:tcPr>
            <w:tcW w:type="dxa" w:w="1247"/>
          </w:tcPr>
          <w:p>
            <w:pPr>
              <w:jc w:val="left"/>
            </w:pPr>
            <w:r/>
            <w:r>
              <w:rPr>
                <w:rFonts w:ascii="Arial" w:hAnsi="Arial" w:eastAsia="Arial"/>
                <w:b w:val="0"/>
                <w:i w:val="0"/>
                <w:color w:val="000000"/>
                <w:sz w:val="20"/>
              </w:rPr>
              <w:t>Data UX</w:t>
            </w:r>
          </w:p>
        </w:tc>
        <w:tc>
          <w:tcPr>
            <w:tcW w:type="dxa" w:w="1247"/>
          </w:tcPr>
          <w:p>
            <w:pPr>
              <w:jc w:val="left"/>
            </w:pPr>
            <w:r/>
            <w:r>
              <w:rPr>
                <w:rFonts w:ascii="Arial" w:hAnsi="Arial" w:eastAsia="Arial"/>
                <w:b w:val="0"/>
                <w:i w:val="0"/>
                <w:color w:val="000000"/>
                <w:sz w:val="20"/>
              </w:rPr>
              <w:t>карантин графа/джерела до аудиту</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Запобіжники і розрив готовності</w:t>
      </w:r>
    </w:p>
    <w:tbl>
      <w:tblPr>
        <w:tblStyle w:val="TableGrid"/>
        <w:tblW w:type="auto" w:w="0"/>
        <w:jc w:val="left"/>
        <w:tblLayout w:type="fixed"/>
        <w:tblLook w:firstColumn="1" w:firstRow="1" w:lastColumn="0" w:lastRow="0" w:noHBand="0" w:noVBand="1" w:val="04A0"/>
      </w:tblPr>
      <w:tblGrid>
        <w:gridCol w:w="1218"/>
        <w:gridCol w:w="1218"/>
        <w:gridCol w:w="1218"/>
        <w:gridCol w:w="1218"/>
        <w:gridCol w:w="1218"/>
        <w:gridCol w:w="1218"/>
        <w:gridCol w:w="1218"/>
        <w:gridCol w:w="1218"/>
      </w:tblGrid>
      <w:tr>
        <w:tc>
          <w:tcPr>
            <w:tcW w:type="dxa" w:w="2041"/>
          </w:tcPr>
          <w:p>
            <w:pPr>
              <w:jc w:val="left"/>
            </w:pPr>
            <w:r/>
            <w:r>
              <w:rPr>
                <w:rFonts w:ascii="Arial" w:hAnsi="Arial" w:eastAsia="Arial"/>
                <w:b/>
                <w:i w:val="0"/>
                <w:color w:val="000000"/>
                <w:sz w:val="20"/>
              </w:rPr>
              <w:t>ID</w:t>
            </w:r>
          </w:p>
        </w:tc>
        <w:tc>
          <w:tcPr>
            <w:tcW w:type="dxa" w:w="1247"/>
          </w:tcPr>
          <w:p>
            <w:pPr>
              <w:jc w:val="left"/>
            </w:pPr>
            <w:r/>
            <w:r>
              <w:rPr>
                <w:rFonts w:ascii="Arial" w:hAnsi="Arial" w:eastAsia="Arial"/>
                <w:b/>
                <w:i w:val="0"/>
                <w:color w:val="000000"/>
                <w:sz w:val="20"/>
              </w:rPr>
              <w:t>Ризик</w:t>
            </w:r>
          </w:p>
        </w:tc>
        <w:tc>
          <w:tcPr>
            <w:tcW w:type="dxa" w:w="1247"/>
          </w:tcPr>
          <w:p>
            <w:pPr>
              <w:jc w:val="left"/>
            </w:pPr>
            <w:r/>
            <w:r>
              <w:rPr>
                <w:rFonts w:ascii="Arial" w:hAnsi="Arial" w:eastAsia="Arial"/>
                <w:b/>
                <w:i w:val="0"/>
                <w:color w:val="000000"/>
                <w:sz w:val="20"/>
              </w:rPr>
              <w:t>Поточний gap</w:t>
            </w:r>
          </w:p>
        </w:tc>
        <w:tc>
          <w:tcPr>
            <w:tcW w:type="dxa" w:w="1247"/>
          </w:tcPr>
          <w:p>
            <w:pPr>
              <w:jc w:val="left"/>
            </w:pPr>
            <w:r/>
            <w:r>
              <w:rPr>
                <w:rFonts w:ascii="Arial" w:hAnsi="Arial" w:eastAsia="Arial"/>
                <w:b/>
                <w:i w:val="0"/>
                <w:color w:val="000000"/>
                <w:sz w:val="20"/>
              </w:rPr>
              <w:t>Пакет запобіжників</w:t>
            </w:r>
          </w:p>
        </w:tc>
        <w:tc>
          <w:tcPr>
            <w:tcW w:type="dxa" w:w="1247"/>
          </w:tcPr>
          <w:p>
            <w:pPr>
              <w:jc w:val="left"/>
            </w:pPr>
            <w:r/>
            <w:r>
              <w:rPr>
                <w:rFonts w:ascii="Arial" w:hAnsi="Arial" w:eastAsia="Arial"/>
                <w:b/>
                <w:i w:val="0"/>
                <w:color w:val="000000"/>
                <w:sz w:val="20"/>
              </w:rPr>
              <w:t>Шоковий score</w:t>
            </w:r>
          </w:p>
        </w:tc>
        <w:tc>
          <w:tcPr>
            <w:tcW w:type="dxa" w:w="1247"/>
          </w:tcPr>
          <w:p>
            <w:pPr>
              <w:jc w:val="left"/>
            </w:pPr>
            <w:r/>
            <w:r>
              <w:rPr>
                <w:rFonts w:ascii="Arial" w:hAnsi="Arial" w:eastAsia="Arial"/>
                <w:b/>
                <w:i w:val="0"/>
                <w:color w:val="000000"/>
                <w:sz w:val="20"/>
              </w:rPr>
              <w:t>Score після +0,20 preparedness</w:t>
            </w:r>
          </w:p>
        </w:tc>
        <w:tc>
          <w:tcPr>
            <w:tcW w:type="dxa" w:w="1247"/>
          </w:tcPr>
          <w:p>
            <w:pPr>
              <w:jc w:val="left"/>
            </w:pPr>
            <w:r/>
            <w:r>
              <w:rPr>
                <w:rFonts w:ascii="Arial" w:hAnsi="Arial" w:eastAsia="Arial"/>
                <w:b/>
                <w:i w:val="0"/>
                <w:color w:val="000000"/>
                <w:sz w:val="20"/>
              </w:rPr>
              <w:t>Зниження</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R01</w:t>
            </w:r>
          </w:p>
        </w:tc>
        <w:tc>
          <w:tcPr>
            <w:tcW w:type="dxa" w:w="1247"/>
          </w:tcPr>
          <w:p>
            <w:pPr>
              <w:jc w:val="left"/>
            </w:pPr>
            <w:r/>
            <w:r>
              <w:rPr>
                <w:rFonts w:ascii="Arial" w:hAnsi="Arial" w:eastAsia="Arial"/>
                <w:b w:val="0"/>
                <w:i w:val="0"/>
                <w:color w:val="000000"/>
                <w:sz w:val="20"/>
              </w:rPr>
              <w:t>Безпекова ескалація</w:t>
            </w:r>
          </w:p>
        </w:tc>
        <w:tc>
          <w:tcPr>
            <w:tcW w:type="dxa" w:w="1247"/>
          </w:tcPr>
          <w:p>
            <w:pPr>
              <w:jc w:val="left"/>
            </w:pPr>
            <w:r/>
            <w:r>
              <w:rPr>
                <w:rFonts w:ascii="Arial" w:hAnsi="Arial" w:eastAsia="Arial"/>
                <w:b w:val="0"/>
                <w:i w:val="0"/>
                <w:color w:val="000000"/>
                <w:sz w:val="20"/>
              </w:rPr>
              <w:t>0.75</w:t>
            </w:r>
          </w:p>
        </w:tc>
        <w:tc>
          <w:tcPr>
            <w:tcW w:type="dxa" w:w="1247"/>
          </w:tcPr>
          <w:p>
            <w:pPr>
              <w:jc w:val="left"/>
            </w:pPr>
            <w:r/>
            <w:r>
              <w:rPr>
                <w:rFonts w:ascii="Arial" w:hAnsi="Arial" w:eastAsia="Arial"/>
                <w:b w:val="0"/>
                <w:i w:val="0"/>
                <w:color w:val="000000"/>
                <w:sz w:val="20"/>
              </w:rPr>
              <w:t>страхування воєнних ризиків; гарантії; continuity-плани; захищені критичні виробничі вузли</w:t>
            </w:r>
          </w:p>
        </w:tc>
        <w:tc>
          <w:tcPr>
            <w:tcW w:type="dxa" w:w="1247"/>
          </w:tcPr>
          <w:p>
            <w:pPr>
              <w:jc w:val="left"/>
            </w:pPr>
            <w:r/>
            <w:r>
              <w:rPr>
                <w:rFonts w:ascii="Arial" w:hAnsi="Arial" w:eastAsia="Arial"/>
                <w:b w:val="0"/>
                <w:i w:val="0"/>
                <w:color w:val="000000"/>
                <w:sz w:val="20"/>
              </w:rPr>
              <w:t>52.5</w:t>
            </w:r>
          </w:p>
        </w:tc>
        <w:tc>
          <w:tcPr>
            <w:tcW w:type="dxa" w:w="1247"/>
          </w:tcPr>
          <w:p>
            <w:pPr>
              <w:jc w:val="left"/>
            </w:pPr>
            <w:r/>
            <w:r>
              <w:rPr>
                <w:rFonts w:ascii="Arial" w:hAnsi="Arial" w:eastAsia="Arial"/>
                <w:b w:val="0"/>
                <w:i w:val="0"/>
                <w:color w:val="000000"/>
                <w:sz w:val="20"/>
              </w:rPr>
              <w:t>38.5</w:t>
            </w:r>
          </w:p>
        </w:tc>
        <w:tc>
          <w:tcPr>
            <w:tcW w:type="dxa" w:w="1247"/>
          </w:tcPr>
          <w:p>
            <w:pPr>
              <w:jc w:val="left"/>
            </w:pPr>
            <w:r/>
            <w:r>
              <w:rPr>
                <w:rFonts w:ascii="Arial" w:hAnsi="Arial" w:eastAsia="Arial"/>
                <w:b w:val="0"/>
                <w:i w:val="0"/>
                <w:color w:val="000000"/>
                <w:sz w:val="20"/>
              </w:rPr>
              <w:t>14.0</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R02</w:t>
            </w:r>
          </w:p>
        </w:tc>
        <w:tc>
          <w:tcPr>
            <w:tcW w:type="dxa" w:w="1247"/>
          </w:tcPr>
          <w:p>
            <w:pPr>
              <w:jc w:val="left"/>
            </w:pPr>
            <w:r/>
            <w:r>
              <w:rPr>
                <w:rFonts w:ascii="Arial" w:hAnsi="Arial" w:eastAsia="Arial"/>
                <w:b w:val="0"/>
                <w:i w:val="0"/>
                <w:color w:val="000000"/>
                <w:sz w:val="20"/>
              </w:rPr>
              <w:t>Енергетичний дефіцит</w:t>
            </w:r>
          </w:p>
        </w:tc>
        <w:tc>
          <w:tcPr>
            <w:tcW w:type="dxa" w:w="1247"/>
          </w:tcPr>
          <w:p>
            <w:pPr>
              <w:jc w:val="left"/>
            </w:pPr>
            <w:r/>
            <w:r>
              <w:rPr>
                <w:rFonts w:ascii="Arial" w:hAnsi="Arial" w:eastAsia="Arial"/>
                <w:b w:val="0"/>
                <w:i w:val="0"/>
                <w:color w:val="000000"/>
                <w:sz w:val="20"/>
              </w:rPr>
              <w:t>0.7</w:t>
            </w:r>
          </w:p>
        </w:tc>
        <w:tc>
          <w:tcPr>
            <w:tcW w:type="dxa" w:w="1247"/>
          </w:tcPr>
          <w:p>
            <w:pPr>
              <w:jc w:val="left"/>
            </w:pPr>
            <w:r/>
            <w:r>
              <w:rPr>
                <w:rFonts w:ascii="Arial" w:hAnsi="Arial" w:eastAsia="Arial"/>
                <w:b w:val="0"/>
                <w:i w:val="0"/>
                <w:color w:val="000000"/>
                <w:sz w:val="20"/>
              </w:rPr>
              <w:t>промислові енергетичні контракти; розподілена генерація; ремонти мереж; резерви; енергоефективність</w:t>
            </w:r>
          </w:p>
        </w:tc>
        <w:tc>
          <w:tcPr>
            <w:tcW w:type="dxa" w:w="1247"/>
          </w:tcPr>
          <w:p>
            <w:pPr>
              <w:jc w:val="left"/>
            </w:pPr>
            <w:r/>
            <w:r>
              <w:rPr>
                <w:rFonts w:ascii="Arial" w:hAnsi="Arial" w:eastAsia="Arial"/>
                <w:b w:val="0"/>
                <w:i w:val="0"/>
                <w:color w:val="000000"/>
                <w:sz w:val="20"/>
              </w:rPr>
              <w:t>45.5</w:t>
            </w:r>
          </w:p>
        </w:tc>
        <w:tc>
          <w:tcPr>
            <w:tcW w:type="dxa" w:w="1247"/>
          </w:tcPr>
          <w:p>
            <w:pPr>
              <w:jc w:val="left"/>
            </w:pPr>
            <w:r/>
            <w:r>
              <w:rPr>
                <w:rFonts w:ascii="Arial" w:hAnsi="Arial" w:eastAsia="Arial"/>
                <w:b w:val="0"/>
                <w:i w:val="0"/>
                <w:color w:val="000000"/>
                <w:sz w:val="20"/>
              </w:rPr>
              <w:t>32.5</w:t>
            </w:r>
          </w:p>
        </w:tc>
        <w:tc>
          <w:tcPr>
            <w:tcW w:type="dxa" w:w="1247"/>
          </w:tcPr>
          <w:p>
            <w:pPr>
              <w:jc w:val="left"/>
            </w:pPr>
            <w:r/>
            <w:r>
              <w:rPr>
                <w:rFonts w:ascii="Arial" w:hAnsi="Arial" w:eastAsia="Arial"/>
                <w:b w:val="0"/>
                <w:i w:val="0"/>
                <w:color w:val="000000"/>
                <w:sz w:val="20"/>
              </w:rPr>
              <w:t>13.0</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R03</w:t>
            </w:r>
          </w:p>
        </w:tc>
        <w:tc>
          <w:tcPr>
            <w:tcW w:type="dxa" w:w="1247"/>
          </w:tcPr>
          <w:p>
            <w:pPr>
              <w:jc w:val="left"/>
            </w:pPr>
            <w:r/>
            <w:r>
              <w:rPr>
                <w:rFonts w:ascii="Arial" w:hAnsi="Arial" w:eastAsia="Arial"/>
                <w:b w:val="0"/>
                <w:i w:val="0"/>
                <w:color w:val="000000"/>
                <w:sz w:val="20"/>
              </w:rPr>
              <w:t>Затримка зовнішнього фінансування</w:t>
            </w:r>
          </w:p>
        </w:tc>
        <w:tc>
          <w:tcPr>
            <w:tcW w:type="dxa" w:w="1247"/>
          </w:tcPr>
          <w:p>
            <w:pPr>
              <w:jc w:val="left"/>
            </w:pPr>
            <w:r/>
            <w:r>
              <w:rPr>
                <w:rFonts w:ascii="Arial" w:hAnsi="Arial" w:eastAsia="Arial"/>
                <w:b w:val="0"/>
                <w:i w:val="0"/>
                <w:color w:val="000000"/>
                <w:sz w:val="20"/>
              </w:rPr>
              <w:t>0.65</w:t>
            </w:r>
          </w:p>
        </w:tc>
        <w:tc>
          <w:tcPr>
            <w:tcW w:type="dxa" w:w="1247"/>
          </w:tcPr>
          <w:p>
            <w:pPr>
              <w:jc w:val="left"/>
            </w:pPr>
            <w:r/>
            <w:r>
              <w:rPr>
                <w:rFonts w:ascii="Arial" w:hAnsi="Arial" w:eastAsia="Arial"/>
                <w:b w:val="0"/>
                <w:i w:val="0"/>
                <w:color w:val="000000"/>
                <w:sz w:val="20"/>
              </w:rPr>
              <w:t>календар фінансування; резервний буфер; пріоритизація видатків; bridge-lines від міжнародних фінансових інституцій</w:t>
            </w:r>
          </w:p>
        </w:tc>
        <w:tc>
          <w:tcPr>
            <w:tcW w:type="dxa" w:w="1247"/>
          </w:tcPr>
          <w:p>
            <w:pPr>
              <w:jc w:val="left"/>
            </w:pPr>
            <w:r/>
            <w:r>
              <w:rPr>
                <w:rFonts w:ascii="Arial" w:hAnsi="Arial" w:eastAsia="Arial"/>
                <w:b w:val="0"/>
                <w:i w:val="0"/>
                <w:color w:val="000000"/>
                <w:sz w:val="20"/>
              </w:rPr>
              <w:t>28.6</w:t>
            </w:r>
          </w:p>
        </w:tc>
        <w:tc>
          <w:tcPr>
            <w:tcW w:type="dxa" w:w="1247"/>
          </w:tcPr>
          <w:p>
            <w:pPr>
              <w:jc w:val="left"/>
            </w:pPr>
            <w:r/>
            <w:r>
              <w:rPr>
                <w:rFonts w:ascii="Arial" w:hAnsi="Arial" w:eastAsia="Arial"/>
                <w:b w:val="0"/>
                <w:i w:val="0"/>
                <w:color w:val="000000"/>
                <w:sz w:val="20"/>
              </w:rPr>
              <w:t>19.8</w:t>
            </w:r>
          </w:p>
        </w:tc>
        <w:tc>
          <w:tcPr>
            <w:tcW w:type="dxa" w:w="1247"/>
          </w:tcPr>
          <w:p>
            <w:pPr>
              <w:jc w:val="left"/>
            </w:pPr>
            <w:r/>
            <w:r>
              <w:rPr>
                <w:rFonts w:ascii="Arial" w:hAnsi="Arial" w:eastAsia="Arial"/>
                <w:b w:val="0"/>
                <w:i w:val="0"/>
                <w:color w:val="000000"/>
                <w:sz w:val="20"/>
              </w:rPr>
              <w:t>8.8</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R04</w:t>
            </w:r>
          </w:p>
        </w:tc>
        <w:tc>
          <w:tcPr>
            <w:tcW w:type="dxa" w:w="1247"/>
          </w:tcPr>
          <w:p>
            <w:pPr>
              <w:jc w:val="left"/>
            </w:pPr>
            <w:r/>
            <w:r>
              <w:rPr>
                <w:rFonts w:ascii="Arial" w:hAnsi="Arial" w:eastAsia="Arial"/>
                <w:b w:val="0"/>
                <w:i w:val="0"/>
                <w:color w:val="000000"/>
                <w:sz w:val="20"/>
              </w:rPr>
              <w:t>Логістичний розрив</w:t>
            </w:r>
          </w:p>
        </w:tc>
        <w:tc>
          <w:tcPr>
            <w:tcW w:type="dxa" w:w="1247"/>
          </w:tcPr>
          <w:p>
            <w:pPr>
              <w:jc w:val="left"/>
            </w:pPr>
            <w:r/>
            <w:r>
              <w:rPr>
                <w:rFonts w:ascii="Arial" w:hAnsi="Arial" w:eastAsia="Arial"/>
                <w:b w:val="0"/>
                <w:i w:val="0"/>
                <w:color w:val="000000"/>
                <w:sz w:val="20"/>
              </w:rPr>
              <w:t>0.7</w:t>
            </w:r>
          </w:p>
        </w:tc>
        <w:tc>
          <w:tcPr>
            <w:tcW w:type="dxa" w:w="1247"/>
          </w:tcPr>
          <w:p>
            <w:pPr>
              <w:jc w:val="left"/>
            </w:pPr>
            <w:r/>
            <w:r>
              <w:rPr>
                <w:rFonts w:ascii="Arial" w:hAnsi="Arial" w:eastAsia="Arial"/>
                <w:b w:val="0"/>
                <w:i w:val="0"/>
                <w:color w:val="000000"/>
                <w:sz w:val="20"/>
              </w:rPr>
              <w:t>порти; Дунай; залізнична і прикордонна цифровізація; вантажне страхування; довгі контракти з покупцями</w:t>
            </w:r>
          </w:p>
        </w:tc>
        <w:tc>
          <w:tcPr>
            <w:tcW w:type="dxa" w:w="1247"/>
          </w:tcPr>
          <w:p>
            <w:pPr>
              <w:jc w:val="left"/>
            </w:pPr>
            <w:r/>
            <w:r>
              <w:rPr>
                <w:rFonts w:ascii="Arial" w:hAnsi="Arial" w:eastAsia="Arial"/>
                <w:b w:val="0"/>
                <w:i w:val="0"/>
                <w:color w:val="000000"/>
                <w:sz w:val="20"/>
              </w:rPr>
              <w:t>30.8</w:t>
            </w:r>
          </w:p>
        </w:tc>
        <w:tc>
          <w:tcPr>
            <w:tcW w:type="dxa" w:w="1247"/>
          </w:tcPr>
          <w:p>
            <w:pPr>
              <w:jc w:val="left"/>
            </w:pPr>
            <w:r/>
            <w:r>
              <w:rPr>
                <w:rFonts w:ascii="Arial" w:hAnsi="Arial" w:eastAsia="Arial"/>
                <w:b w:val="0"/>
                <w:i w:val="0"/>
                <w:color w:val="000000"/>
                <w:sz w:val="20"/>
              </w:rPr>
              <w:t>22.0</w:t>
            </w:r>
          </w:p>
        </w:tc>
        <w:tc>
          <w:tcPr>
            <w:tcW w:type="dxa" w:w="1247"/>
          </w:tcPr>
          <w:p>
            <w:pPr>
              <w:jc w:val="left"/>
            </w:pPr>
            <w:r/>
            <w:r>
              <w:rPr>
                <w:rFonts w:ascii="Arial" w:hAnsi="Arial" w:eastAsia="Arial"/>
                <w:b w:val="0"/>
                <w:i w:val="0"/>
                <w:color w:val="000000"/>
                <w:sz w:val="20"/>
              </w:rPr>
              <w:t>8.8</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R05</w:t>
            </w:r>
          </w:p>
        </w:tc>
        <w:tc>
          <w:tcPr>
            <w:tcW w:type="dxa" w:w="1247"/>
          </w:tcPr>
          <w:p>
            <w:pPr>
              <w:jc w:val="left"/>
            </w:pPr>
            <w:r/>
            <w:r>
              <w:rPr>
                <w:rFonts w:ascii="Arial" w:hAnsi="Arial" w:eastAsia="Arial"/>
                <w:b w:val="0"/>
                <w:i w:val="0"/>
                <w:color w:val="000000"/>
                <w:sz w:val="20"/>
              </w:rPr>
              <w:t>Брак приватних інвестицій і страхового покриття</w:t>
            </w:r>
          </w:p>
        </w:tc>
        <w:tc>
          <w:tcPr>
            <w:tcW w:type="dxa" w:w="1247"/>
          </w:tcPr>
          <w:p>
            <w:pPr>
              <w:jc w:val="left"/>
            </w:pPr>
            <w:r/>
            <w:r>
              <w:rPr>
                <w:rFonts w:ascii="Arial" w:hAnsi="Arial" w:eastAsia="Arial"/>
                <w:b w:val="0"/>
                <w:i w:val="0"/>
                <w:color w:val="000000"/>
                <w:sz w:val="20"/>
              </w:rPr>
              <w:t>0.75</w:t>
            </w:r>
          </w:p>
        </w:tc>
        <w:tc>
          <w:tcPr>
            <w:tcW w:type="dxa" w:w="1247"/>
          </w:tcPr>
          <w:p>
            <w:pPr>
              <w:jc w:val="left"/>
            </w:pPr>
            <w:r/>
            <w:r>
              <w:rPr>
                <w:rFonts w:ascii="Arial" w:hAnsi="Arial" w:eastAsia="Arial"/>
                <w:b w:val="0"/>
                <w:i w:val="0"/>
                <w:color w:val="000000"/>
                <w:sz w:val="20"/>
              </w:rPr>
              <w:t>гарантії міжнародних фінансових інституцій; war-risk insurance; проєктна підготовка; пакетування інвестиційних майданчиків</w:t>
            </w:r>
          </w:p>
        </w:tc>
        <w:tc>
          <w:tcPr>
            <w:tcW w:type="dxa" w:w="1247"/>
          </w:tcPr>
          <w:p>
            <w:pPr>
              <w:jc w:val="left"/>
            </w:pPr>
            <w:r/>
            <w:r>
              <w:rPr>
                <w:rFonts w:ascii="Arial" w:hAnsi="Arial" w:eastAsia="Arial"/>
                <w:b w:val="0"/>
                <w:i w:val="0"/>
                <w:color w:val="000000"/>
                <w:sz w:val="20"/>
              </w:rPr>
              <w:t>28.8</w:t>
            </w:r>
          </w:p>
        </w:tc>
        <w:tc>
          <w:tcPr>
            <w:tcW w:type="dxa" w:w="1247"/>
          </w:tcPr>
          <w:p>
            <w:pPr>
              <w:jc w:val="left"/>
            </w:pPr>
            <w:r/>
            <w:r>
              <w:rPr>
                <w:rFonts w:ascii="Arial" w:hAnsi="Arial" w:eastAsia="Arial"/>
                <w:b w:val="0"/>
                <w:i w:val="0"/>
                <w:color w:val="000000"/>
                <w:sz w:val="20"/>
              </w:rPr>
              <w:t>21.1</w:t>
            </w:r>
          </w:p>
        </w:tc>
        <w:tc>
          <w:tcPr>
            <w:tcW w:type="dxa" w:w="1247"/>
          </w:tcPr>
          <w:p>
            <w:pPr>
              <w:jc w:val="left"/>
            </w:pPr>
            <w:r/>
            <w:r>
              <w:rPr>
                <w:rFonts w:ascii="Arial" w:hAnsi="Arial" w:eastAsia="Arial"/>
                <w:b w:val="0"/>
                <w:i w:val="0"/>
                <w:color w:val="000000"/>
                <w:sz w:val="20"/>
              </w:rPr>
              <w:t>7.7</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R06</w:t>
            </w:r>
          </w:p>
        </w:tc>
        <w:tc>
          <w:tcPr>
            <w:tcW w:type="dxa" w:w="1247"/>
          </w:tcPr>
          <w:p>
            <w:pPr>
              <w:jc w:val="left"/>
            </w:pPr>
            <w:r/>
            <w:r>
              <w:rPr>
                <w:rFonts w:ascii="Arial" w:hAnsi="Arial" w:eastAsia="Arial"/>
                <w:b w:val="0"/>
                <w:i w:val="0"/>
                <w:color w:val="000000"/>
                <w:sz w:val="20"/>
              </w:rPr>
              <w:t>Демографічний і кадровий відтік</w:t>
            </w:r>
          </w:p>
        </w:tc>
        <w:tc>
          <w:tcPr>
            <w:tcW w:type="dxa" w:w="1247"/>
          </w:tcPr>
          <w:p>
            <w:pPr>
              <w:jc w:val="left"/>
            </w:pPr>
            <w:r/>
            <w:r>
              <w:rPr>
                <w:rFonts w:ascii="Arial" w:hAnsi="Arial" w:eastAsia="Arial"/>
                <w:b w:val="0"/>
                <w:i w:val="0"/>
                <w:color w:val="000000"/>
                <w:sz w:val="20"/>
              </w:rPr>
              <w:t>0.75</w:t>
            </w:r>
          </w:p>
        </w:tc>
        <w:tc>
          <w:tcPr>
            <w:tcW w:type="dxa" w:w="1247"/>
          </w:tcPr>
          <w:p>
            <w:pPr>
              <w:jc w:val="left"/>
            </w:pPr>
            <w:r/>
            <w:r>
              <w:rPr>
                <w:rFonts w:ascii="Arial" w:hAnsi="Arial" w:eastAsia="Arial"/>
                <w:b w:val="0"/>
                <w:i w:val="0"/>
                <w:color w:val="000000"/>
                <w:sz w:val="20"/>
              </w:rPr>
              <w:t>дуальна освіта; короткі сертифікати; ветеранська інтеграція; регіональна мобільність працівників</w:t>
            </w:r>
          </w:p>
        </w:tc>
        <w:tc>
          <w:tcPr>
            <w:tcW w:type="dxa" w:w="1247"/>
          </w:tcPr>
          <w:p>
            <w:pPr>
              <w:jc w:val="left"/>
            </w:pPr>
            <w:r/>
            <w:r>
              <w:rPr>
                <w:rFonts w:ascii="Arial" w:hAnsi="Arial" w:eastAsia="Arial"/>
                <w:b w:val="0"/>
                <w:i w:val="0"/>
                <w:color w:val="000000"/>
                <w:sz w:val="20"/>
              </w:rPr>
              <w:t>17.3</w:t>
            </w:r>
          </w:p>
        </w:tc>
        <w:tc>
          <w:tcPr>
            <w:tcW w:type="dxa" w:w="1247"/>
          </w:tcPr>
          <w:p>
            <w:pPr>
              <w:jc w:val="left"/>
            </w:pPr>
            <w:r/>
            <w:r>
              <w:rPr>
                <w:rFonts w:ascii="Arial" w:hAnsi="Arial" w:eastAsia="Arial"/>
                <w:b w:val="0"/>
                <w:i w:val="0"/>
                <w:color w:val="000000"/>
                <w:sz w:val="20"/>
              </w:rPr>
              <w:t>12.7</w:t>
            </w:r>
          </w:p>
        </w:tc>
        <w:tc>
          <w:tcPr>
            <w:tcW w:type="dxa" w:w="1247"/>
          </w:tcPr>
          <w:p>
            <w:pPr>
              <w:jc w:val="left"/>
            </w:pPr>
            <w:r/>
            <w:r>
              <w:rPr>
                <w:rFonts w:ascii="Arial" w:hAnsi="Arial" w:eastAsia="Arial"/>
                <w:b w:val="0"/>
                <w:i w:val="0"/>
                <w:color w:val="000000"/>
                <w:sz w:val="20"/>
              </w:rPr>
              <w:t>4.6</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R07</w:t>
            </w:r>
          </w:p>
        </w:tc>
        <w:tc>
          <w:tcPr>
            <w:tcW w:type="dxa" w:w="1247"/>
          </w:tcPr>
          <w:p>
            <w:pPr>
              <w:jc w:val="left"/>
            </w:pPr>
            <w:r/>
            <w:r>
              <w:rPr>
                <w:rFonts w:ascii="Arial" w:hAnsi="Arial" w:eastAsia="Arial"/>
                <w:b w:val="0"/>
                <w:i w:val="0"/>
                <w:color w:val="000000"/>
                <w:sz w:val="20"/>
              </w:rPr>
              <w:t>Фіскально-борговий тиск</w:t>
            </w:r>
          </w:p>
        </w:tc>
        <w:tc>
          <w:tcPr>
            <w:tcW w:type="dxa" w:w="1247"/>
          </w:tcPr>
          <w:p>
            <w:pPr>
              <w:jc w:val="left"/>
            </w:pPr>
            <w:r/>
            <w:r>
              <w:rPr>
                <w:rFonts w:ascii="Arial" w:hAnsi="Arial" w:eastAsia="Arial"/>
                <w:b w:val="0"/>
                <w:i w:val="0"/>
                <w:color w:val="000000"/>
                <w:sz w:val="20"/>
              </w:rPr>
              <w:t>0.65</w:t>
            </w:r>
          </w:p>
        </w:tc>
        <w:tc>
          <w:tcPr>
            <w:tcW w:type="dxa" w:w="1247"/>
          </w:tcPr>
          <w:p>
            <w:pPr>
              <w:jc w:val="left"/>
            </w:pPr>
            <w:r/>
            <w:r>
              <w:rPr>
                <w:rFonts w:ascii="Arial" w:hAnsi="Arial" w:eastAsia="Arial"/>
                <w:b w:val="0"/>
                <w:i w:val="0"/>
                <w:color w:val="000000"/>
                <w:sz w:val="20"/>
              </w:rPr>
              <w:t>контроль боргового календаря; заходи доходів; локальна додана вартість; пріоритизація видатків</w:t>
            </w:r>
          </w:p>
        </w:tc>
        <w:tc>
          <w:tcPr>
            <w:tcW w:type="dxa" w:w="1247"/>
          </w:tcPr>
          <w:p>
            <w:pPr>
              <w:jc w:val="left"/>
            </w:pPr>
            <w:r/>
            <w:r>
              <w:rPr>
                <w:rFonts w:ascii="Arial" w:hAnsi="Arial" w:eastAsia="Arial"/>
                <w:b w:val="0"/>
                <w:i w:val="0"/>
                <w:color w:val="000000"/>
                <w:sz w:val="20"/>
              </w:rPr>
              <w:t>28.6</w:t>
            </w:r>
          </w:p>
        </w:tc>
        <w:tc>
          <w:tcPr>
            <w:tcW w:type="dxa" w:w="1247"/>
          </w:tcPr>
          <w:p>
            <w:pPr>
              <w:jc w:val="left"/>
            </w:pPr>
            <w:r/>
            <w:r>
              <w:rPr>
                <w:rFonts w:ascii="Arial" w:hAnsi="Arial" w:eastAsia="Arial"/>
                <w:b w:val="0"/>
                <w:i w:val="0"/>
                <w:color w:val="000000"/>
                <w:sz w:val="20"/>
              </w:rPr>
              <w:t>19.8</w:t>
            </w:r>
          </w:p>
        </w:tc>
        <w:tc>
          <w:tcPr>
            <w:tcW w:type="dxa" w:w="1247"/>
          </w:tcPr>
          <w:p>
            <w:pPr>
              <w:jc w:val="left"/>
            </w:pPr>
            <w:r/>
            <w:r>
              <w:rPr>
                <w:rFonts w:ascii="Arial" w:hAnsi="Arial" w:eastAsia="Arial"/>
                <w:b w:val="0"/>
                <w:i w:val="0"/>
                <w:color w:val="000000"/>
                <w:sz w:val="20"/>
              </w:rPr>
              <w:t>8.8</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R08</w:t>
            </w:r>
          </w:p>
        </w:tc>
        <w:tc>
          <w:tcPr>
            <w:tcW w:type="dxa" w:w="1247"/>
          </w:tcPr>
          <w:p>
            <w:pPr>
              <w:jc w:val="left"/>
            </w:pPr>
            <w:r/>
            <w:r>
              <w:rPr>
                <w:rFonts w:ascii="Arial" w:hAnsi="Arial" w:eastAsia="Arial"/>
                <w:b w:val="0"/>
                <w:i w:val="0"/>
                <w:color w:val="000000"/>
                <w:sz w:val="20"/>
              </w:rPr>
              <w:t>Технологічне відставання і проєктна готовність</w:t>
            </w:r>
          </w:p>
        </w:tc>
        <w:tc>
          <w:tcPr>
            <w:tcW w:type="dxa" w:w="1247"/>
          </w:tcPr>
          <w:p>
            <w:pPr>
              <w:jc w:val="left"/>
            </w:pPr>
            <w:r/>
            <w:r>
              <w:rPr>
                <w:rFonts w:ascii="Arial" w:hAnsi="Arial" w:eastAsia="Arial"/>
                <w:b w:val="0"/>
                <w:i w:val="0"/>
                <w:color w:val="000000"/>
                <w:sz w:val="20"/>
              </w:rPr>
              <w:t>0.75</w:t>
            </w:r>
          </w:p>
        </w:tc>
        <w:tc>
          <w:tcPr>
            <w:tcW w:type="dxa" w:w="1247"/>
          </w:tcPr>
          <w:p>
            <w:pPr>
              <w:jc w:val="left"/>
            </w:pPr>
            <w:r/>
            <w:r>
              <w:rPr>
                <w:rFonts w:ascii="Arial" w:hAnsi="Arial" w:eastAsia="Arial"/>
                <w:b w:val="0"/>
                <w:i w:val="0"/>
                <w:color w:val="000000"/>
                <w:sz w:val="20"/>
              </w:rPr>
              <w:t>facility проєктної підготовки; швидкі дозволи; прозорі закупівлі; delivery units; технологічні програми</w:t>
            </w:r>
          </w:p>
        </w:tc>
        <w:tc>
          <w:tcPr>
            <w:tcW w:type="dxa" w:w="1247"/>
          </w:tcPr>
          <w:p>
            <w:pPr>
              <w:jc w:val="left"/>
            </w:pPr>
            <w:r/>
            <w:r>
              <w:rPr>
                <w:rFonts w:ascii="Arial" w:hAnsi="Arial" w:eastAsia="Arial"/>
                <w:b w:val="0"/>
                <w:i w:val="0"/>
                <w:color w:val="000000"/>
                <w:sz w:val="20"/>
              </w:rPr>
              <w:t>19.2</w:t>
            </w:r>
          </w:p>
        </w:tc>
        <w:tc>
          <w:tcPr>
            <w:tcW w:type="dxa" w:w="1247"/>
          </w:tcPr>
          <w:p>
            <w:pPr>
              <w:jc w:val="left"/>
            </w:pPr>
            <w:r/>
            <w:r>
              <w:rPr>
                <w:rFonts w:ascii="Arial" w:hAnsi="Arial" w:eastAsia="Arial"/>
                <w:b w:val="0"/>
                <w:i w:val="0"/>
                <w:color w:val="000000"/>
                <w:sz w:val="20"/>
              </w:rPr>
              <w:t>14.1</w:t>
            </w:r>
          </w:p>
        </w:tc>
        <w:tc>
          <w:tcPr>
            <w:tcW w:type="dxa" w:w="1247"/>
          </w:tcPr>
          <w:p>
            <w:pPr>
              <w:jc w:val="left"/>
            </w:pPr>
            <w:r/>
            <w:r>
              <w:rPr>
                <w:rFonts w:ascii="Arial" w:hAnsi="Arial" w:eastAsia="Arial"/>
                <w:b w:val="0"/>
                <w:i w:val="0"/>
                <w:color w:val="000000"/>
                <w:sz w:val="20"/>
              </w:rPr>
              <w:t>5.1</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R09</w:t>
            </w:r>
          </w:p>
        </w:tc>
        <w:tc>
          <w:tcPr>
            <w:tcW w:type="dxa" w:w="1247"/>
          </w:tcPr>
          <w:p>
            <w:pPr>
              <w:jc w:val="left"/>
            </w:pPr>
            <w:r/>
            <w:r>
              <w:rPr>
                <w:rFonts w:ascii="Arial" w:hAnsi="Arial" w:eastAsia="Arial"/>
                <w:b w:val="0"/>
                <w:i w:val="0"/>
                <w:color w:val="000000"/>
                <w:sz w:val="20"/>
              </w:rPr>
              <w:t>CBAM і ризик доступу до ринків</w:t>
            </w:r>
          </w:p>
        </w:tc>
        <w:tc>
          <w:tcPr>
            <w:tcW w:type="dxa" w:w="1247"/>
          </w:tcPr>
          <w:p>
            <w:pPr>
              <w:jc w:val="left"/>
            </w:pPr>
            <w:r/>
            <w:r>
              <w:rPr>
                <w:rFonts w:ascii="Arial" w:hAnsi="Arial" w:eastAsia="Arial"/>
                <w:b w:val="0"/>
                <w:i w:val="0"/>
                <w:color w:val="000000"/>
                <w:sz w:val="20"/>
              </w:rPr>
              <w:t>0.75</w:t>
            </w:r>
          </w:p>
        </w:tc>
        <w:tc>
          <w:tcPr>
            <w:tcW w:type="dxa" w:w="1247"/>
          </w:tcPr>
          <w:p>
            <w:pPr>
              <w:jc w:val="left"/>
            </w:pPr>
            <w:r/>
            <w:r>
              <w:rPr>
                <w:rFonts w:ascii="Arial" w:hAnsi="Arial" w:eastAsia="Arial"/>
                <w:b w:val="0"/>
                <w:i w:val="0"/>
                <w:color w:val="000000"/>
                <w:sz w:val="20"/>
              </w:rPr>
              <w:t>вуглецевий облік; енергоефективний CAPEX; сертифікація; green finance</w:t>
            </w:r>
          </w:p>
        </w:tc>
        <w:tc>
          <w:tcPr>
            <w:tcW w:type="dxa" w:w="1247"/>
          </w:tcPr>
          <w:p>
            <w:pPr>
              <w:jc w:val="left"/>
            </w:pPr>
            <w:r/>
            <w:r>
              <w:rPr>
                <w:rFonts w:ascii="Arial" w:hAnsi="Arial" w:eastAsia="Arial"/>
                <w:b w:val="0"/>
                <w:i w:val="0"/>
                <w:color w:val="000000"/>
                <w:sz w:val="20"/>
              </w:rPr>
              <w:t>11.5</w:t>
            </w:r>
          </w:p>
        </w:tc>
        <w:tc>
          <w:tcPr>
            <w:tcW w:type="dxa" w:w="1247"/>
          </w:tcPr>
          <w:p>
            <w:pPr>
              <w:jc w:val="left"/>
            </w:pPr>
            <w:r/>
            <w:r>
              <w:rPr>
                <w:rFonts w:ascii="Arial" w:hAnsi="Arial" w:eastAsia="Arial"/>
                <w:b w:val="0"/>
                <w:i w:val="0"/>
                <w:color w:val="000000"/>
                <w:sz w:val="20"/>
              </w:rPr>
              <w:t>8.4</w:t>
            </w:r>
          </w:p>
        </w:tc>
        <w:tc>
          <w:tcPr>
            <w:tcW w:type="dxa" w:w="1247"/>
          </w:tcPr>
          <w:p>
            <w:pPr>
              <w:jc w:val="left"/>
            </w:pPr>
            <w:r/>
            <w:r>
              <w:rPr>
                <w:rFonts w:ascii="Arial" w:hAnsi="Arial" w:eastAsia="Arial"/>
                <w:b w:val="0"/>
                <w:i w:val="0"/>
                <w:color w:val="000000"/>
                <w:sz w:val="20"/>
              </w:rPr>
              <w:t>3.1</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R10</w:t>
            </w:r>
          </w:p>
        </w:tc>
        <w:tc>
          <w:tcPr>
            <w:tcW w:type="dxa" w:w="1247"/>
          </w:tcPr>
          <w:p>
            <w:pPr>
              <w:jc w:val="left"/>
            </w:pPr>
            <w:r/>
            <w:r>
              <w:rPr>
                <w:rFonts w:ascii="Arial" w:hAnsi="Arial" w:eastAsia="Arial"/>
                <w:b w:val="0"/>
                <w:i w:val="0"/>
                <w:color w:val="000000"/>
                <w:sz w:val="20"/>
              </w:rPr>
              <w:t>Порушення глобальних ланцюгів і ринкова кон’юнктура</w:t>
            </w:r>
          </w:p>
        </w:tc>
        <w:tc>
          <w:tcPr>
            <w:tcW w:type="dxa" w:w="1247"/>
          </w:tcPr>
          <w:p>
            <w:pPr>
              <w:jc w:val="left"/>
            </w:pPr>
            <w:r/>
            <w:r>
              <w:rPr>
                <w:rFonts w:ascii="Arial" w:hAnsi="Arial" w:eastAsia="Arial"/>
                <w:b w:val="0"/>
                <w:i w:val="0"/>
                <w:color w:val="000000"/>
                <w:sz w:val="20"/>
              </w:rPr>
              <w:t>0.7</w:t>
            </w:r>
          </w:p>
        </w:tc>
        <w:tc>
          <w:tcPr>
            <w:tcW w:type="dxa" w:w="1247"/>
          </w:tcPr>
          <w:p>
            <w:pPr>
              <w:jc w:val="left"/>
            </w:pPr>
            <w:r/>
            <w:r>
              <w:rPr>
                <w:rFonts w:ascii="Arial" w:hAnsi="Arial" w:eastAsia="Arial"/>
                <w:b w:val="0"/>
                <w:i w:val="0"/>
                <w:color w:val="000000"/>
                <w:sz w:val="20"/>
              </w:rPr>
              <w:t>диверсифікація продуктів; довгі контракти; market intelligence; альтернативні постачальники</w:t>
            </w:r>
          </w:p>
        </w:tc>
        <w:tc>
          <w:tcPr>
            <w:tcW w:type="dxa" w:w="1247"/>
          </w:tcPr>
          <w:p>
            <w:pPr>
              <w:jc w:val="left"/>
            </w:pPr>
            <w:r/>
            <w:r>
              <w:rPr>
                <w:rFonts w:ascii="Arial" w:hAnsi="Arial" w:eastAsia="Arial"/>
                <w:b w:val="0"/>
                <w:i w:val="0"/>
                <w:color w:val="000000"/>
                <w:sz w:val="20"/>
              </w:rPr>
              <w:t>10.2</w:t>
            </w:r>
          </w:p>
        </w:tc>
        <w:tc>
          <w:tcPr>
            <w:tcW w:type="dxa" w:w="1247"/>
          </w:tcPr>
          <w:p>
            <w:pPr>
              <w:jc w:val="left"/>
            </w:pPr>
            <w:r/>
            <w:r>
              <w:rPr>
                <w:rFonts w:ascii="Arial" w:hAnsi="Arial" w:eastAsia="Arial"/>
                <w:b w:val="0"/>
                <w:i w:val="0"/>
                <w:color w:val="000000"/>
                <w:sz w:val="20"/>
              </w:rPr>
              <w:t>7.3</w:t>
            </w:r>
          </w:p>
        </w:tc>
        <w:tc>
          <w:tcPr>
            <w:tcW w:type="dxa" w:w="1247"/>
          </w:tcPr>
          <w:p>
            <w:pPr>
              <w:jc w:val="left"/>
            </w:pPr>
            <w:r/>
            <w:r>
              <w:rPr>
                <w:rFonts w:ascii="Arial" w:hAnsi="Arial" w:eastAsia="Arial"/>
                <w:b w:val="0"/>
                <w:i w:val="0"/>
                <w:color w:val="000000"/>
                <w:sz w:val="20"/>
              </w:rPr>
              <w:t>2.9</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R11</w:t>
            </w:r>
          </w:p>
        </w:tc>
        <w:tc>
          <w:tcPr>
            <w:tcW w:type="dxa" w:w="1247"/>
          </w:tcPr>
          <w:p>
            <w:pPr>
              <w:jc w:val="left"/>
            </w:pPr>
            <w:r/>
            <w:r>
              <w:rPr>
                <w:rFonts w:ascii="Arial" w:hAnsi="Arial" w:eastAsia="Arial"/>
                <w:b w:val="0"/>
                <w:i w:val="0"/>
                <w:color w:val="000000"/>
                <w:sz w:val="20"/>
              </w:rPr>
              <w:t>Регіонально-соціальна нестійкість і слабка абсорбція відбудови</w:t>
            </w:r>
          </w:p>
        </w:tc>
        <w:tc>
          <w:tcPr>
            <w:tcW w:type="dxa" w:w="1247"/>
          </w:tcPr>
          <w:p>
            <w:pPr>
              <w:jc w:val="left"/>
            </w:pPr>
            <w:r/>
            <w:r>
              <w:rPr>
                <w:rFonts w:ascii="Arial" w:hAnsi="Arial" w:eastAsia="Arial"/>
                <w:b w:val="0"/>
                <w:i w:val="0"/>
                <w:color w:val="000000"/>
                <w:sz w:val="20"/>
              </w:rPr>
              <w:t>0.78</w:t>
            </w:r>
          </w:p>
        </w:tc>
        <w:tc>
          <w:tcPr>
            <w:tcW w:type="dxa" w:w="1247"/>
          </w:tcPr>
          <w:p>
            <w:pPr>
              <w:jc w:val="left"/>
            </w:pPr>
            <w:r/>
            <w:r>
              <w:rPr>
                <w:rFonts w:ascii="Arial" w:hAnsi="Arial" w:eastAsia="Arial"/>
                <w:b w:val="0"/>
                <w:i w:val="0"/>
                <w:color w:val="000000"/>
                <w:sz w:val="20"/>
              </w:rPr>
              <w:t>локальний вміст; промислові парки; supplier mapping; територіальні програми відновлення</w:t>
            </w:r>
          </w:p>
        </w:tc>
        <w:tc>
          <w:tcPr>
            <w:tcW w:type="dxa" w:w="1247"/>
          </w:tcPr>
          <w:p>
            <w:pPr>
              <w:jc w:val="left"/>
            </w:pPr>
            <w:r/>
            <w:r>
              <w:rPr>
                <w:rFonts w:ascii="Arial" w:hAnsi="Arial" w:eastAsia="Arial"/>
                <w:b w:val="0"/>
                <w:i w:val="0"/>
                <w:color w:val="000000"/>
                <w:sz w:val="20"/>
              </w:rPr>
              <w:t>18.0</w:t>
            </w:r>
          </w:p>
        </w:tc>
        <w:tc>
          <w:tcPr>
            <w:tcW w:type="dxa" w:w="1247"/>
          </w:tcPr>
          <w:p>
            <w:pPr>
              <w:jc w:val="left"/>
            </w:pPr>
            <w:r/>
            <w:r>
              <w:rPr>
                <w:rFonts w:ascii="Arial" w:hAnsi="Arial" w:eastAsia="Arial"/>
                <w:b w:val="0"/>
                <w:i w:val="0"/>
                <w:color w:val="000000"/>
                <w:sz w:val="20"/>
              </w:rPr>
              <w:t>13.4</w:t>
            </w:r>
          </w:p>
        </w:tc>
        <w:tc>
          <w:tcPr>
            <w:tcW w:type="dxa" w:w="1247"/>
          </w:tcPr>
          <w:p>
            <w:pPr>
              <w:jc w:val="left"/>
            </w:pPr>
            <w:r/>
            <w:r>
              <w:rPr>
                <w:rFonts w:ascii="Arial" w:hAnsi="Arial" w:eastAsia="Arial"/>
                <w:b w:val="0"/>
                <w:i w:val="0"/>
                <w:color w:val="000000"/>
                <w:sz w:val="20"/>
              </w:rPr>
              <w:t>4.6</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R12</w:t>
            </w:r>
          </w:p>
        </w:tc>
        <w:tc>
          <w:tcPr>
            <w:tcW w:type="dxa" w:w="1247"/>
          </w:tcPr>
          <w:p>
            <w:pPr>
              <w:jc w:val="left"/>
            </w:pPr>
            <w:r/>
            <w:r>
              <w:rPr>
                <w:rFonts w:ascii="Arial" w:hAnsi="Arial" w:eastAsia="Arial"/>
                <w:b w:val="0"/>
                <w:i w:val="0"/>
                <w:color w:val="000000"/>
                <w:sz w:val="20"/>
              </w:rPr>
              <w:t>Governance і ризик цілісності даних</w:t>
            </w:r>
          </w:p>
        </w:tc>
        <w:tc>
          <w:tcPr>
            <w:tcW w:type="dxa" w:w="1247"/>
          </w:tcPr>
          <w:p>
            <w:pPr>
              <w:jc w:val="left"/>
            </w:pPr>
            <w:r/>
            <w:r>
              <w:rPr>
                <w:rFonts w:ascii="Arial" w:hAnsi="Arial" w:eastAsia="Arial"/>
                <w:b w:val="0"/>
                <w:i w:val="0"/>
                <w:color w:val="000000"/>
                <w:sz w:val="20"/>
              </w:rPr>
              <w:t>0.6</w:t>
            </w:r>
          </w:p>
        </w:tc>
        <w:tc>
          <w:tcPr>
            <w:tcW w:type="dxa" w:w="1247"/>
          </w:tcPr>
          <w:p>
            <w:pPr>
              <w:jc w:val="left"/>
            </w:pPr>
            <w:r/>
            <w:r>
              <w:rPr>
                <w:rFonts w:ascii="Arial" w:hAnsi="Arial" w:eastAsia="Arial"/>
                <w:b w:val="0"/>
                <w:i w:val="0"/>
                <w:color w:val="000000"/>
                <w:sz w:val="20"/>
              </w:rPr>
              <w:t>source drawers; canonical map; audit flags; quarantine for unresolved claims; versioned score audit</w:t>
            </w:r>
          </w:p>
        </w:tc>
        <w:tc>
          <w:tcPr>
            <w:tcW w:type="dxa" w:w="1247"/>
          </w:tcPr>
          <w:p>
            <w:pPr>
              <w:jc w:val="left"/>
            </w:pPr>
            <w:r/>
            <w:r>
              <w:rPr>
                <w:rFonts w:ascii="Arial" w:hAnsi="Arial" w:eastAsia="Arial"/>
                <w:b w:val="0"/>
                <w:i w:val="0"/>
                <w:color w:val="000000"/>
                <w:sz w:val="20"/>
              </w:rPr>
              <w:t>3.9</w:t>
            </w:r>
          </w:p>
        </w:tc>
        <w:tc>
          <w:tcPr>
            <w:tcW w:type="dxa" w:w="1247"/>
          </w:tcPr>
          <w:p>
            <w:pPr>
              <w:jc w:val="left"/>
            </w:pPr>
            <w:r/>
            <w:r>
              <w:rPr>
                <w:rFonts w:ascii="Arial" w:hAnsi="Arial" w:eastAsia="Arial"/>
                <w:b w:val="0"/>
                <w:i w:val="0"/>
                <w:color w:val="000000"/>
                <w:sz w:val="20"/>
              </w:rPr>
              <w:t>2.6</w:t>
            </w:r>
          </w:p>
        </w:tc>
        <w:tc>
          <w:tcPr>
            <w:tcW w:type="dxa" w:w="1247"/>
          </w:tcPr>
          <w:p>
            <w:pPr>
              <w:jc w:val="left"/>
            </w:pPr>
            <w:r/>
            <w:r>
              <w:rPr>
                <w:rFonts w:ascii="Arial" w:hAnsi="Arial" w:eastAsia="Arial"/>
                <w:b w:val="0"/>
                <w:i w:val="0"/>
                <w:color w:val="000000"/>
                <w:sz w:val="20"/>
              </w:rPr>
              <w:t>1.3</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Експозиція, параметри і score-аудит</w:t>
      </w:r>
    </w:p>
    <w:p>
      <w:pPr>
        <w:jc w:val="both"/>
      </w:pPr>
      <w:r>
        <w:rPr>
          <w:rFonts w:ascii="Arial" w:hAnsi="Arial" w:eastAsia="Arial"/>
          <w:b w:val="0"/>
          <w:i w:val="0"/>
          <w:color w:val="000000"/>
          <w:sz w:val="24"/>
        </w:rPr>
        <w:t>Експозиція показує, наскільки система відкрита до ризику. [1] Енергетичний ризик впливає на виробничу потужність і тарифну передбачуваність; безпековий ризик впливає на insurability і capital cost; логістичний ризик впливає на експортну спроможність; проектна готовність впливає на локальний multiplier. Цей шар потрібен для downstream scenario use, але не повторює сам сценарний звіт.</w:t>
      </w:r>
    </w:p>
    <w:tbl>
      <w:tblPr>
        <w:tblStyle w:val="TableGrid"/>
        <w:tblW w:type="auto" w:w="0"/>
        <w:jc w:val="left"/>
        <w:tblLayout w:type="fixed"/>
        <w:tblLook w:firstColumn="1" w:firstRow="1" w:lastColumn="0" w:lastRow="0" w:noHBand="0" w:noVBand="1" w:val="04A0"/>
      </w:tblPr>
      <w:tblGrid>
        <w:gridCol w:w="1624"/>
        <w:gridCol w:w="1624"/>
        <w:gridCol w:w="1624"/>
        <w:gridCol w:w="1624"/>
        <w:gridCol w:w="1624"/>
        <w:gridCol w:w="1624"/>
      </w:tblGrid>
      <w:tr>
        <w:tc>
          <w:tcPr>
            <w:tcW w:type="dxa" w:w="2041"/>
          </w:tcPr>
          <w:p>
            <w:pPr>
              <w:jc w:val="left"/>
            </w:pPr>
            <w:r/>
            <w:r>
              <w:rPr>
                <w:rFonts w:ascii="Arial" w:hAnsi="Arial" w:eastAsia="Arial"/>
                <w:b/>
                <w:i w:val="0"/>
                <w:color w:val="000000"/>
                <w:sz w:val="20"/>
              </w:rPr>
              <w:t>Розділ</w:t>
            </w:r>
          </w:p>
        </w:tc>
        <w:tc>
          <w:tcPr>
            <w:tcW w:type="dxa" w:w="1559"/>
          </w:tcPr>
          <w:p>
            <w:pPr>
              <w:jc w:val="left"/>
            </w:pPr>
            <w:r/>
            <w:r>
              <w:rPr>
                <w:rFonts w:ascii="Arial" w:hAnsi="Arial" w:eastAsia="Arial"/>
                <w:b/>
                <w:i w:val="0"/>
                <w:color w:val="000000"/>
                <w:sz w:val="20"/>
              </w:rPr>
              <w:t>Роль</w:t>
            </w:r>
          </w:p>
        </w:tc>
        <w:tc>
          <w:tcPr>
            <w:tcW w:type="dxa" w:w="1559"/>
          </w:tcPr>
          <w:p>
            <w:pPr>
              <w:jc w:val="left"/>
            </w:pPr>
            <w:r/>
            <w:r>
              <w:rPr>
                <w:rFonts w:ascii="Arial" w:hAnsi="Arial" w:eastAsia="Arial"/>
                <w:b/>
                <w:i w:val="0"/>
                <w:color w:val="000000"/>
                <w:sz w:val="20"/>
              </w:rPr>
              <w:t>Тип експозиції</w:t>
            </w:r>
          </w:p>
        </w:tc>
        <w:tc>
          <w:tcPr>
            <w:tcW w:type="dxa" w:w="1559"/>
          </w:tcPr>
          <w:p>
            <w:pPr>
              <w:jc w:val="left"/>
            </w:pPr>
            <w:r/>
            <w:r>
              <w:rPr>
                <w:rFonts w:ascii="Arial" w:hAnsi="Arial" w:eastAsia="Arial"/>
                <w:b/>
                <w:i w:val="0"/>
                <w:color w:val="000000"/>
                <w:sz w:val="20"/>
              </w:rPr>
              <w:t>Навігаційні GraphID</w:t>
            </w:r>
          </w:p>
        </w:tc>
        <w:tc>
          <w:tcPr>
            <w:tcW w:type="dxa" w:w="1559"/>
          </w:tcPr>
          <w:p>
            <w:pPr>
              <w:jc w:val="left"/>
            </w:pPr>
            <w:r/>
            <w:r>
              <w:rPr>
                <w:rFonts w:ascii="Arial" w:hAnsi="Arial" w:eastAsia="Arial"/>
                <w:b/>
                <w:i w:val="0"/>
                <w:color w:val="000000"/>
                <w:sz w:val="20"/>
              </w:rPr>
              <w:t>Застереження</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A0</w:t>
            </w:r>
          </w:p>
        </w:tc>
        <w:tc>
          <w:tcPr>
            <w:tcW w:type="dxa" w:w="1559"/>
          </w:tcPr>
          <w:p>
            <w:pPr>
              <w:jc w:val="left"/>
            </w:pPr>
            <w:r/>
            <w:r>
              <w:rPr>
                <w:rFonts w:ascii="Arial" w:hAnsi="Arial" w:eastAsia="Arial"/>
                <w:b w:val="0"/>
                <w:i w:val="0"/>
                <w:color w:val="000000"/>
                <w:sz w:val="20"/>
              </w:rPr>
              <w:t>інтегрована секторально-горизонтальна база</w:t>
            </w:r>
          </w:p>
        </w:tc>
        <w:tc>
          <w:tcPr>
            <w:tcW w:type="dxa" w:w="1559"/>
          </w:tcPr>
          <w:p>
            <w:pPr>
              <w:jc w:val="left"/>
            </w:pPr>
            <w:r/>
            <w:r>
              <w:rPr>
                <w:rFonts w:ascii="Arial" w:hAnsi="Arial" w:eastAsia="Arial"/>
                <w:b w:val="0"/>
                <w:i w:val="0"/>
                <w:color w:val="000000"/>
                <w:sz w:val="20"/>
              </w:rPr>
              <w:t>системна експозиція, readiness і recovery index</w:t>
            </w:r>
          </w:p>
        </w:tc>
        <w:tc>
          <w:tcPr>
            <w:tcW w:type="dxa" w:w="1559"/>
          </w:tcPr>
          <w:p>
            <w:pPr>
              <w:jc w:val="left"/>
            </w:pPr>
            <w:r/>
            <w:r>
              <w:rPr>
                <w:rFonts w:ascii="Arial" w:hAnsi="Arial" w:eastAsia="Arial"/>
                <w:b w:val="0"/>
                <w:i w:val="0"/>
                <w:color w:val="000000"/>
                <w:sz w:val="20"/>
              </w:rPr>
              <w:t>A0-G02; A0-G07</w:t>
            </w:r>
          </w:p>
        </w:tc>
        <w:tc>
          <w:tcPr>
            <w:tcW w:type="dxa" w:w="1559"/>
          </w:tcPr>
          <w:p>
            <w:pPr>
              <w:jc w:val="left"/>
            </w:pPr>
            <w:r/>
            <w:r>
              <w:rPr>
                <w:rFonts w:ascii="Arial" w:hAnsi="Arial" w:eastAsia="Arial"/>
                <w:b w:val="0"/>
                <w:i w:val="0"/>
                <w:color w:val="000000"/>
                <w:sz w:val="20"/>
              </w:rPr>
              <w:t>використовується як фон, не як окремий score</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A1-A6</w:t>
            </w:r>
          </w:p>
        </w:tc>
        <w:tc>
          <w:tcPr>
            <w:tcW w:type="dxa" w:w="1559"/>
          </w:tcPr>
          <w:p>
            <w:pPr>
              <w:jc w:val="left"/>
            </w:pPr>
            <w:r/>
            <w:r>
              <w:rPr>
                <w:rFonts w:ascii="Arial" w:hAnsi="Arial" w:eastAsia="Arial"/>
                <w:b w:val="0"/>
                <w:i w:val="0"/>
                <w:color w:val="000000"/>
                <w:sz w:val="20"/>
              </w:rPr>
              <w:t>галузеві розділи</w:t>
            </w:r>
          </w:p>
        </w:tc>
        <w:tc>
          <w:tcPr>
            <w:tcW w:type="dxa" w:w="1559"/>
          </w:tcPr>
          <w:p>
            <w:pPr>
              <w:jc w:val="left"/>
            </w:pPr>
            <w:r/>
            <w:r>
              <w:rPr>
                <w:rFonts w:ascii="Arial" w:hAnsi="Arial" w:eastAsia="Arial"/>
                <w:b w:val="0"/>
                <w:i w:val="0"/>
                <w:color w:val="000000"/>
                <w:sz w:val="20"/>
              </w:rPr>
              <w:t>impact і exposure за секторами</w:t>
            </w:r>
          </w:p>
        </w:tc>
        <w:tc>
          <w:tcPr>
            <w:tcW w:type="dxa" w:w="1559"/>
          </w:tcPr>
          <w:p>
            <w:pPr>
              <w:jc w:val="left"/>
            </w:pPr>
            <w:r/>
            <w:r>
              <w:rPr>
                <w:rFonts w:ascii="Arial" w:hAnsi="Arial" w:eastAsia="Arial"/>
                <w:b w:val="0"/>
                <w:i w:val="0"/>
                <w:color w:val="000000"/>
                <w:sz w:val="20"/>
              </w:rPr>
              <w:t>A1-G03; A2-G01; A3-G06; A4-G03; A5-G08; A6-G08</w:t>
            </w:r>
          </w:p>
        </w:tc>
        <w:tc>
          <w:tcPr>
            <w:tcW w:type="dxa" w:w="1559"/>
          </w:tcPr>
          <w:p>
            <w:pPr>
              <w:jc w:val="left"/>
            </w:pPr>
            <w:r/>
            <w:r>
              <w:rPr>
                <w:rFonts w:ascii="Arial" w:hAnsi="Arial" w:eastAsia="Arial"/>
                <w:b w:val="0"/>
                <w:i w:val="0"/>
                <w:color w:val="000000"/>
                <w:sz w:val="20"/>
              </w:rPr>
              <w:t>не переказуються, лише дають score inputs</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B1</w:t>
            </w:r>
          </w:p>
        </w:tc>
        <w:tc>
          <w:tcPr>
            <w:tcW w:type="dxa" w:w="1559"/>
          </w:tcPr>
          <w:p>
            <w:pPr>
              <w:jc w:val="left"/>
            </w:pPr>
            <w:r/>
            <w:r>
              <w:rPr>
                <w:rFonts w:ascii="Arial" w:hAnsi="Arial" w:eastAsia="Arial"/>
                <w:b w:val="0"/>
                <w:i w:val="0"/>
                <w:color w:val="000000"/>
                <w:sz w:val="20"/>
              </w:rPr>
              <w:t>людський капітал</w:t>
            </w:r>
          </w:p>
        </w:tc>
        <w:tc>
          <w:tcPr>
            <w:tcW w:type="dxa" w:w="1559"/>
          </w:tcPr>
          <w:p>
            <w:pPr>
              <w:jc w:val="left"/>
            </w:pPr>
            <w:r/>
            <w:r>
              <w:rPr>
                <w:rFonts w:ascii="Arial" w:hAnsi="Arial" w:eastAsia="Arial"/>
                <w:b w:val="0"/>
                <w:i w:val="0"/>
                <w:color w:val="000000"/>
                <w:sz w:val="20"/>
              </w:rPr>
              <w:t>кадровий і демографічний risk input</w:t>
            </w:r>
          </w:p>
        </w:tc>
        <w:tc>
          <w:tcPr>
            <w:tcW w:type="dxa" w:w="1559"/>
          </w:tcPr>
          <w:p>
            <w:pPr>
              <w:jc w:val="left"/>
            </w:pPr>
            <w:r/>
            <w:r>
              <w:rPr>
                <w:rFonts w:ascii="Arial" w:hAnsi="Arial" w:eastAsia="Arial"/>
                <w:b w:val="0"/>
                <w:i w:val="0"/>
                <w:color w:val="000000"/>
                <w:sz w:val="20"/>
              </w:rPr>
              <w:t>B1-G01; B1-G11</w:t>
            </w:r>
          </w:p>
        </w:tc>
        <w:tc>
          <w:tcPr>
            <w:tcW w:type="dxa" w:w="1559"/>
          </w:tcPr>
          <w:p>
            <w:pPr>
              <w:jc w:val="left"/>
            </w:pPr>
            <w:r/>
            <w:r>
              <w:rPr>
                <w:rFonts w:ascii="Arial" w:hAnsi="Arial" w:eastAsia="Arial"/>
                <w:b w:val="0"/>
                <w:i w:val="0"/>
                <w:color w:val="000000"/>
                <w:sz w:val="20"/>
              </w:rPr>
              <w:t>використовується для R06</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B2</w:t>
            </w:r>
          </w:p>
        </w:tc>
        <w:tc>
          <w:tcPr>
            <w:tcW w:type="dxa" w:w="1559"/>
          </w:tcPr>
          <w:p>
            <w:pPr>
              <w:jc w:val="left"/>
            </w:pPr>
            <w:r/>
            <w:r>
              <w:rPr>
                <w:rFonts w:ascii="Arial" w:hAnsi="Arial" w:eastAsia="Arial"/>
                <w:b w:val="0"/>
                <w:i w:val="0"/>
                <w:color w:val="000000"/>
                <w:sz w:val="20"/>
              </w:rPr>
              <w:t>інфраструктура і логістика</w:t>
            </w:r>
          </w:p>
        </w:tc>
        <w:tc>
          <w:tcPr>
            <w:tcW w:type="dxa" w:w="1559"/>
          </w:tcPr>
          <w:p>
            <w:pPr>
              <w:jc w:val="left"/>
            </w:pPr>
            <w:r/>
            <w:r>
              <w:rPr>
                <w:rFonts w:ascii="Arial" w:hAnsi="Arial" w:eastAsia="Arial"/>
                <w:b w:val="0"/>
                <w:i w:val="0"/>
                <w:color w:val="000000"/>
                <w:sz w:val="20"/>
              </w:rPr>
              <w:t>каскад logistics / transport / export</w:t>
            </w:r>
          </w:p>
        </w:tc>
        <w:tc>
          <w:tcPr>
            <w:tcW w:type="dxa" w:w="1559"/>
          </w:tcPr>
          <w:p>
            <w:pPr>
              <w:jc w:val="left"/>
            </w:pPr>
            <w:r/>
            <w:r>
              <w:rPr>
                <w:rFonts w:ascii="Arial" w:hAnsi="Arial" w:eastAsia="Arial"/>
                <w:b w:val="0"/>
                <w:i w:val="0"/>
                <w:color w:val="000000"/>
                <w:sz w:val="20"/>
              </w:rPr>
              <w:t>B2-G09; B2-G10</w:t>
            </w:r>
          </w:p>
        </w:tc>
        <w:tc>
          <w:tcPr>
            <w:tcW w:type="dxa" w:w="1559"/>
          </w:tcPr>
          <w:p>
            <w:pPr>
              <w:jc w:val="left"/>
            </w:pPr>
            <w:r/>
            <w:r>
              <w:rPr>
                <w:rFonts w:ascii="Arial" w:hAnsi="Arial" w:eastAsia="Arial"/>
                <w:b w:val="0"/>
                <w:i w:val="0"/>
                <w:color w:val="000000"/>
                <w:sz w:val="20"/>
              </w:rPr>
              <w:t>використовується для R04 і C03</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B3</w:t>
            </w:r>
          </w:p>
        </w:tc>
        <w:tc>
          <w:tcPr>
            <w:tcW w:type="dxa" w:w="1559"/>
          </w:tcPr>
          <w:p>
            <w:pPr>
              <w:jc w:val="left"/>
            </w:pPr>
            <w:r/>
            <w:r>
              <w:rPr>
                <w:rFonts w:ascii="Arial" w:hAnsi="Arial" w:eastAsia="Arial"/>
                <w:b w:val="0"/>
                <w:i w:val="0"/>
                <w:color w:val="000000"/>
                <w:sz w:val="20"/>
              </w:rPr>
              <w:t>тарифна пастка</w:t>
            </w:r>
          </w:p>
        </w:tc>
        <w:tc>
          <w:tcPr>
            <w:tcW w:type="dxa" w:w="1559"/>
          </w:tcPr>
          <w:p>
            <w:pPr>
              <w:jc w:val="left"/>
            </w:pPr>
            <w:r/>
            <w:r>
              <w:rPr>
                <w:rFonts w:ascii="Arial" w:hAnsi="Arial" w:eastAsia="Arial"/>
                <w:b w:val="0"/>
                <w:i w:val="0"/>
                <w:color w:val="000000"/>
                <w:sz w:val="20"/>
              </w:rPr>
              <w:t>cost-risk і energy price exposure</w:t>
            </w:r>
          </w:p>
        </w:tc>
        <w:tc>
          <w:tcPr>
            <w:tcW w:type="dxa" w:w="1559"/>
          </w:tcPr>
          <w:p>
            <w:pPr>
              <w:jc w:val="left"/>
            </w:pPr>
            <w:r/>
            <w:r>
              <w:rPr>
                <w:rFonts w:ascii="Arial" w:hAnsi="Arial" w:eastAsia="Arial"/>
                <w:b w:val="0"/>
                <w:i w:val="0"/>
                <w:color w:val="000000"/>
                <w:sz w:val="20"/>
              </w:rPr>
              <w:t>B3-G03; B3-G07</w:t>
            </w:r>
          </w:p>
        </w:tc>
        <w:tc>
          <w:tcPr>
            <w:tcW w:type="dxa" w:w="1559"/>
          </w:tcPr>
          <w:p>
            <w:pPr>
              <w:jc w:val="left"/>
            </w:pPr>
            <w:r/>
            <w:r>
              <w:rPr>
                <w:rFonts w:ascii="Arial" w:hAnsi="Arial" w:eastAsia="Arial"/>
                <w:b w:val="0"/>
                <w:i w:val="0"/>
                <w:color w:val="000000"/>
                <w:sz w:val="20"/>
              </w:rPr>
              <w:t>використовується для R02</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B4</w:t>
            </w:r>
          </w:p>
        </w:tc>
        <w:tc>
          <w:tcPr>
            <w:tcW w:type="dxa" w:w="1559"/>
          </w:tcPr>
          <w:p>
            <w:pPr>
              <w:jc w:val="left"/>
            </w:pPr>
            <w:r/>
            <w:r>
              <w:rPr>
                <w:rFonts w:ascii="Arial" w:hAnsi="Arial" w:eastAsia="Arial"/>
                <w:b w:val="0"/>
                <w:i w:val="0"/>
                <w:color w:val="000000"/>
                <w:sz w:val="20"/>
              </w:rPr>
              <w:t>фінанси та інвестиції</w:t>
            </w:r>
          </w:p>
        </w:tc>
        <w:tc>
          <w:tcPr>
            <w:tcW w:type="dxa" w:w="1559"/>
          </w:tcPr>
          <w:p>
            <w:pPr>
              <w:jc w:val="left"/>
            </w:pPr>
            <w:r/>
            <w:r>
              <w:rPr>
                <w:rFonts w:ascii="Arial" w:hAnsi="Arial" w:eastAsia="Arial"/>
                <w:b w:val="0"/>
                <w:i w:val="0"/>
                <w:color w:val="000000"/>
                <w:sz w:val="20"/>
              </w:rPr>
              <w:t>CAPEX, risk premium, insurance gap</w:t>
            </w:r>
          </w:p>
        </w:tc>
        <w:tc>
          <w:tcPr>
            <w:tcW w:type="dxa" w:w="1559"/>
          </w:tcPr>
          <w:p>
            <w:pPr>
              <w:jc w:val="left"/>
            </w:pPr>
            <w:r/>
            <w:r>
              <w:rPr>
                <w:rFonts w:ascii="Arial" w:hAnsi="Arial" w:eastAsia="Arial"/>
                <w:b w:val="0"/>
                <w:i w:val="0"/>
                <w:color w:val="000000"/>
                <w:sz w:val="20"/>
              </w:rPr>
              <w:t>B4-G09; B4-G10</w:t>
            </w:r>
          </w:p>
        </w:tc>
        <w:tc>
          <w:tcPr>
            <w:tcW w:type="dxa" w:w="1559"/>
          </w:tcPr>
          <w:p>
            <w:pPr>
              <w:jc w:val="left"/>
            </w:pPr>
            <w:r/>
            <w:r>
              <w:rPr>
                <w:rFonts w:ascii="Arial" w:hAnsi="Arial" w:eastAsia="Arial"/>
                <w:b w:val="0"/>
                <w:i w:val="0"/>
                <w:color w:val="000000"/>
                <w:sz w:val="20"/>
              </w:rPr>
              <w:t>використовується для R05 і R07</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V1-V4</w:t>
            </w:r>
          </w:p>
        </w:tc>
        <w:tc>
          <w:tcPr>
            <w:tcW w:type="dxa" w:w="1559"/>
          </w:tcPr>
          <w:p>
            <w:pPr>
              <w:jc w:val="left"/>
            </w:pPr>
            <w:r/>
            <w:r>
              <w:rPr>
                <w:rFonts w:ascii="Arial" w:hAnsi="Arial" w:eastAsia="Arial"/>
                <w:b w:val="0"/>
                <w:i w:val="0"/>
                <w:color w:val="000000"/>
                <w:sz w:val="20"/>
              </w:rPr>
              <w:t>агрегація, GDP, бюджет, зовнішній сектор</w:t>
            </w:r>
          </w:p>
        </w:tc>
        <w:tc>
          <w:tcPr>
            <w:tcW w:type="dxa" w:w="1559"/>
          </w:tcPr>
          <w:p>
            <w:pPr>
              <w:jc w:val="left"/>
            </w:pPr>
            <w:r/>
            <w:r>
              <w:rPr>
                <w:rFonts w:ascii="Arial" w:hAnsi="Arial" w:eastAsia="Arial"/>
                <w:b w:val="0"/>
                <w:i w:val="0"/>
                <w:color w:val="000000"/>
                <w:sz w:val="20"/>
              </w:rPr>
              <w:t>другий ефект каскадів</w:t>
            </w:r>
          </w:p>
        </w:tc>
        <w:tc>
          <w:tcPr>
            <w:tcW w:type="dxa" w:w="1559"/>
          </w:tcPr>
          <w:p>
            <w:pPr>
              <w:jc w:val="left"/>
            </w:pPr>
            <w:r/>
            <w:r>
              <w:rPr>
                <w:rFonts w:ascii="Arial" w:hAnsi="Arial" w:eastAsia="Arial"/>
                <w:b w:val="0"/>
                <w:i w:val="0"/>
                <w:color w:val="000000"/>
                <w:sz w:val="20"/>
              </w:rPr>
              <w:t>V2/V3/V4 навігаційні графи після нормалізації</w:t>
            </w:r>
          </w:p>
        </w:tc>
        <w:tc>
          <w:tcPr>
            <w:tcW w:type="dxa" w:w="1559"/>
          </w:tcPr>
          <w:p>
            <w:pPr>
              <w:jc w:val="left"/>
            </w:pPr>
            <w:r/>
            <w:r>
              <w:rPr>
                <w:rFonts w:ascii="Arial" w:hAnsi="Arial" w:eastAsia="Arial"/>
                <w:b w:val="0"/>
                <w:i w:val="0"/>
                <w:color w:val="000000"/>
                <w:sz w:val="20"/>
              </w:rPr>
              <w:t>тільки handoff, не повторення</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G1-G2</w:t>
            </w:r>
          </w:p>
        </w:tc>
        <w:tc>
          <w:tcPr>
            <w:tcW w:type="dxa" w:w="1559"/>
          </w:tcPr>
          <w:p>
            <w:pPr>
              <w:jc w:val="left"/>
            </w:pPr>
            <w:r/>
            <w:r>
              <w:rPr>
                <w:rFonts w:ascii="Arial" w:hAnsi="Arial" w:eastAsia="Arial"/>
                <w:b w:val="0"/>
                <w:i w:val="0"/>
                <w:color w:val="000000"/>
                <w:sz w:val="20"/>
              </w:rPr>
              <w:t>регіони і соціальні наслідки</w:t>
            </w:r>
          </w:p>
        </w:tc>
        <w:tc>
          <w:tcPr>
            <w:tcW w:type="dxa" w:w="1559"/>
          </w:tcPr>
          <w:p>
            <w:pPr>
              <w:jc w:val="left"/>
            </w:pPr>
            <w:r/>
            <w:r>
              <w:rPr>
                <w:rFonts w:ascii="Arial" w:hAnsi="Arial" w:eastAsia="Arial"/>
                <w:b w:val="0"/>
                <w:i w:val="0"/>
                <w:color w:val="000000"/>
                <w:sz w:val="20"/>
              </w:rPr>
              <w:t>просторова і соціальна експозиція</w:t>
            </w:r>
          </w:p>
        </w:tc>
        <w:tc>
          <w:tcPr>
            <w:tcW w:type="dxa" w:w="1559"/>
          </w:tcPr>
          <w:p>
            <w:pPr>
              <w:jc w:val="left"/>
            </w:pPr>
            <w:r/>
            <w:r>
              <w:rPr>
                <w:rFonts w:ascii="Arial" w:hAnsi="Arial" w:eastAsia="Arial"/>
                <w:b w:val="0"/>
                <w:i w:val="0"/>
                <w:color w:val="000000"/>
                <w:sz w:val="20"/>
              </w:rPr>
              <w:t>G1/G2 public maps після нормалізації</w:t>
            </w:r>
          </w:p>
        </w:tc>
        <w:tc>
          <w:tcPr>
            <w:tcW w:type="dxa" w:w="1559"/>
          </w:tcPr>
          <w:p>
            <w:pPr>
              <w:jc w:val="left"/>
            </w:pPr>
            <w:r/>
            <w:r>
              <w:rPr>
                <w:rFonts w:ascii="Arial" w:hAnsi="Arial" w:eastAsia="Arial"/>
                <w:b w:val="0"/>
                <w:i w:val="0"/>
                <w:color w:val="000000"/>
                <w:sz w:val="20"/>
              </w:rPr>
              <w:t>використовується для R11</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D1-D2</w:t>
            </w:r>
          </w:p>
        </w:tc>
        <w:tc>
          <w:tcPr>
            <w:tcW w:type="dxa" w:w="1559"/>
          </w:tcPr>
          <w:p>
            <w:pPr>
              <w:jc w:val="left"/>
            </w:pPr>
            <w:r/>
            <w:r>
              <w:rPr>
                <w:rFonts w:ascii="Arial" w:hAnsi="Arial" w:eastAsia="Arial"/>
                <w:b w:val="0"/>
                <w:i w:val="0"/>
                <w:color w:val="000000"/>
                <w:sz w:val="20"/>
              </w:rPr>
              <w:t>втрати і поточна матриця</w:t>
            </w:r>
          </w:p>
        </w:tc>
        <w:tc>
          <w:tcPr>
            <w:tcW w:type="dxa" w:w="1559"/>
          </w:tcPr>
          <w:p>
            <w:pPr>
              <w:jc w:val="left"/>
            </w:pPr>
            <w:r/>
            <w:r>
              <w:rPr>
                <w:rFonts w:ascii="Arial" w:hAnsi="Arial" w:eastAsia="Arial"/>
                <w:b w:val="0"/>
                <w:i w:val="0"/>
                <w:color w:val="000000"/>
                <w:sz w:val="20"/>
              </w:rPr>
              <w:t>loss/current-state input</w:t>
            </w:r>
          </w:p>
        </w:tc>
        <w:tc>
          <w:tcPr>
            <w:tcW w:type="dxa" w:w="1559"/>
          </w:tcPr>
          <w:p>
            <w:pPr>
              <w:jc w:val="left"/>
            </w:pPr>
            <w:r/>
            <w:r>
              <w:rPr>
                <w:rFonts w:ascii="Arial" w:hAnsi="Arial" w:eastAsia="Arial"/>
                <w:b w:val="0"/>
                <w:i w:val="0"/>
                <w:color w:val="000000"/>
                <w:sz w:val="20"/>
              </w:rPr>
              <w:t>D1/D2 public objects після нормалізації</w:t>
            </w:r>
          </w:p>
        </w:tc>
        <w:tc>
          <w:tcPr>
            <w:tcW w:type="dxa" w:w="1559"/>
          </w:tcPr>
          <w:p>
            <w:pPr>
              <w:jc w:val="left"/>
            </w:pPr>
            <w:r/>
            <w:r>
              <w:rPr>
                <w:rFonts w:ascii="Arial" w:hAnsi="Arial" w:eastAsia="Arial"/>
                <w:b w:val="0"/>
                <w:i w:val="0"/>
                <w:color w:val="000000"/>
                <w:sz w:val="20"/>
              </w:rPr>
              <w:t>лише denominator / exposure</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J1</w:t>
            </w:r>
          </w:p>
        </w:tc>
        <w:tc>
          <w:tcPr>
            <w:tcW w:type="dxa" w:w="1559"/>
          </w:tcPr>
          <w:p>
            <w:pPr>
              <w:jc w:val="left"/>
            </w:pPr>
            <w:r/>
            <w:r>
              <w:rPr>
                <w:rFonts w:ascii="Arial" w:hAnsi="Arial" w:eastAsia="Arial"/>
                <w:b w:val="0"/>
                <w:i w:val="0"/>
                <w:color w:val="000000"/>
                <w:sz w:val="20"/>
              </w:rPr>
              <w:t>сценарний синтез</w:t>
            </w:r>
          </w:p>
        </w:tc>
        <w:tc>
          <w:tcPr>
            <w:tcW w:type="dxa" w:w="1559"/>
          </w:tcPr>
          <w:p>
            <w:pPr>
              <w:jc w:val="left"/>
            </w:pPr>
            <w:r/>
            <w:r>
              <w:rPr>
                <w:rFonts w:ascii="Arial" w:hAnsi="Arial" w:eastAsia="Arial"/>
                <w:b w:val="0"/>
                <w:i w:val="0"/>
                <w:color w:val="000000"/>
                <w:sz w:val="20"/>
              </w:rPr>
              <w:t>downstream use of scored risk layer</w:t>
            </w:r>
          </w:p>
        </w:tc>
        <w:tc>
          <w:tcPr>
            <w:tcW w:type="dxa" w:w="1559"/>
          </w:tcPr>
          <w:p>
            <w:pPr>
              <w:jc w:val="left"/>
            </w:pPr>
            <w:r/>
            <w:r>
              <w:rPr>
                <w:rFonts w:ascii="Arial" w:hAnsi="Arial" w:eastAsia="Arial"/>
                <w:b w:val="0"/>
                <w:i w:val="0"/>
                <w:color w:val="000000"/>
                <w:sz w:val="20"/>
              </w:rPr>
              <w:t>не граф, а сценарний handoff</w:t>
            </w:r>
          </w:p>
        </w:tc>
        <w:tc>
          <w:tcPr>
            <w:tcW w:type="dxa" w:w="1559"/>
          </w:tcPr>
          <w:p>
            <w:pPr>
              <w:jc w:val="left"/>
            </w:pPr>
            <w:r/>
            <w:r>
              <w:rPr>
                <w:rFonts w:ascii="Arial" w:hAnsi="Arial" w:eastAsia="Arial"/>
                <w:b w:val="0"/>
                <w:i w:val="0"/>
                <w:color w:val="000000"/>
                <w:sz w:val="20"/>
              </w:rPr>
              <w:t>отримує score, caveat і safeguard triggers</w:t>
            </w:r>
          </w:p>
        </w:tc>
        <w:tc>
          <w:tcPr>
            <w:tcW w:type="dxa" w:w="794"/>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1218"/>
        <w:gridCol w:w="1218"/>
        <w:gridCol w:w="1218"/>
        <w:gridCol w:w="1218"/>
        <w:gridCol w:w="1218"/>
        <w:gridCol w:w="1218"/>
        <w:gridCol w:w="1218"/>
        <w:gridCol w:w="1218"/>
      </w:tblGrid>
      <w:tr>
        <w:tc>
          <w:tcPr>
            <w:tcW w:type="dxa" w:w="2041"/>
          </w:tcPr>
          <w:p>
            <w:pPr>
              <w:jc w:val="left"/>
            </w:pPr>
            <w:r/>
            <w:r>
              <w:rPr>
                <w:rFonts w:ascii="Arial" w:hAnsi="Arial" w:eastAsia="Arial"/>
                <w:b/>
                <w:i w:val="0"/>
                <w:color w:val="000000"/>
                <w:sz w:val="20"/>
              </w:rPr>
              <w:t>ID ризику</w:t>
            </w:r>
          </w:p>
        </w:tc>
        <w:tc>
          <w:tcPr>
            <w:tcW w:type="dxa" w:w="1247"/>
          </w:tcPr>
          <w:p>
            <w:pPr>
              <w:jc w:val="left"/>
            </w:pPr>
            <w:r/>
            <w:r>
              <w:rPr>
                <w:rFonts w:ascii="Arial" w:hAnsi="Arial" w:eastAsia="Arial"/>
                <w:b/>
                <w:i w:val="0"/>
                <w:color w:val="000000"/>
                <w:sz w:val="20"/>
              </w:rPr>
              <w:t>Параметр</w:t>
            </w:r>
          </w:p>
        </w:tc>
        <w:tc>
          <w:tcPr>
            <w:tcW w:type="dxa" w:w="1247"/>
          </w:tcPr>
          <w:p>
            <w:pPr>
              <w:jc w:val="left"/>
            </w:pPr>
            <w:r/>
            <w:r>
              <w:rPr>
                <w:rFonts w:ascii="Arial" w:hAnsi="Arial" w:eastAsia="Arial"/>
                <w:b/>
                <w:i w:val="0"/>
                <w:color w:val="000000"/>
                <w:sz w:val="20"/>
              </w:rPr>
              <w:t>Шок, пунктів</w:t>
            </w:r>
          </w:p>
        </w:tc>
        <w:tc>
          <w:tcPr>
            <w:tcW w:type="dxa" w:w="1247"/>
          </w:tcPr>
          <w:p>
            <w:pPr>
              <w:jc w:val="left"/>
            </w:pPr>
            <w:r/>
            <w:r>
              <w:rPr>
                <w:rFonts w:ascii="Arial" w:hAnsi="Arial" w:eastAsia="Arial"/>
                <w:b/>
                <w:i w:val="0"/>
                <w:color w:val="000000"/>
                <w:sz w:val="20"/>
              </w:rPr>
              <w:t>Інерція, пунктів</w:t>
            </w:r>
          </w:p>
        </w:tc>
        <w:tc>
          <w:tcPr>
            <w:tcW w:type="dxa" w:w="1247"/>
          </w:tcPr>
          <w:p>
            <w:pPr>
              <w:jc w:val="left"/>
            </w:pPr>
            <w:r/>
            <w:r>
              <w:rPr>
                <w:rFonts w:ascii="Arial" w:hAnsi="Arial" w:eastAsia="Arial"/>
                <w:b/>
                <w:i w:val="0"/>
                <w:color w:val="000000"/>
                <w:sz w:val="20"/>
              </w:rPr>
              <w:t>Трансформація, пунктів</w:t>
            </w:r>
          </w:p>
        </w:tc>
        <w:tc>
          <w:tcPr>
            <w:tcW w:type="dxa" w:w="1247"/>
          </w:tcPr>
          <w:p>
            <w:pPr>
              <w:jc w:val="left"/>
            </w:pPr>
            <w:r/>
            <w:r>
              <w:rPr>
                <w:rFonts w:ascii="Arial" w:hAnsi="Arial" w:eastAsia="Arial"/>
                <w:b/>
                <w:i w:val="0"/>
                <w:color w:val="000000"/>
                <w:sz w:val="20"/>
              </w:rPr>
              <w:t>Правило</w:t>
            </w:r>
          </w:p>
        </w:tc>
        <w:tc>
          <w:tcPr>
            <w:tcW w:type="dxa" w:w="1247"/>
          </w:tcPr>
          <w:p>
            <w:pPr>
              <w:jc w:val="left"/>
            </w:pPr>
            <w:r/>
            <w:r>
              <w:rPr>
                <w:rFonts w:ascii="Arial" w:hAnsi="Arial" w:eastAsia="Arial"/>
                <w:b/>
                <w:i w:val="0"/>
                <w:color w:val="000000"/>
                <w:sz w:val="20"/>
              </w:rPr>
              <w:t>Пояснення</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R01</w:t>
            </w:r>
          </w:p>
        </w:tc>
        <w:tc>
          <w:tcPr>
            <w:tcW w:type="dxa" w:w="1247"/>
          </w:tcPr>
          <w:p>
            <w:pPr>
              <w:jc w:val="left"/>
            </w:pPr>
            <w:r/>
            <w:r>
              <w:rPr>
                <w:rFonts w:ascii="Arial" w:hAnsi="Arial" w:eastAsia="Arial"/>
                <w:b w:val="0"/>
                <w:i w:val="0"/>
                <w:color w:val="000000"/>
                <w:sz w:val="20"/>
              </w:rPr>
              <w:t>P04</w:t>
            </w:r>
          </w:p>
        </w:tc>
        <w:tc>
          <w:tcPr>
            <w:tcW w:type="dxa" w:w="1247"/>
          </w:tcPr>
          <w:p>
            <w:pPr>
              <w:jc w:val="left"/>
            </w:pPr>
            <w:r/>
            <w:r>
              <w:rPr>
                <w:rFonts w:ascii="Arial" w:hAnsi="Arial" w:eastAsia="Arial"/>
                <w:b w:val="0"/>
                <w:i w:val="0"/>
                <w:color w:val="000000"/>
                <w:sz w:val="20"/>
              </w:rPr>
              <w:t>-20</w:t>
            </w:r>
          </w:p>
        </w:tc>
        <w:tc>
          <w:tcPr>
            <w:tcW w:type="dxa" w:w="1247"/>
          </w:tcPr>
          <w:p>
            <w:pPr>
              <w:jc w:val="left"/>
            </w:pPr>
            <w:r/>
            <w:r>
              <w:rPr>
                <w:rFonts w:ascii="Arial" w:hAnsi="Arial" w:eastAsia="Arial"/>
                <w:b w:val="0"/>
                <w:i w:val="0"/>
                <w:color w:val="000000"/>
                <w:sz w:val="20"/>
              </w:rPr>
              <w:t>-11.0</w:t>
            </w:r>
          </w:p>
        </w:tc>
        <w:tc>
          <w:tcPr>
            <w:tcW w:type="dxa" w:w="1247"/>
          </w:tcPr>
          <w:p>
            <w:pPr>
              <w:jc w:val="left"/>
            </w:pPr>
            <w:r/>
            <w:r>
              <w:rPr>
                <w:rFonts w:ascii="Arial" w:hAnsi="Arial" w:eastAsia="Arial"/>
                <w:b w:val="0"/>
                <w:i w:val="0"/>
                <w:color w:val="000000"/>
                <w:sz w:val="20"/>
              </w:rPr>
              <w:t>-5.0</w:t>
            </w:r>
          </w:p>
        </w:tc>
        <w:tc>
          <w:tcPr>
            <w:tcW w:type="dxa" w:w="1247"/>
          </w:tcPr>
          <w:p>
            <w:pPr>
              <w:jc w:val="left"/>
            </w:pPr>
            <w:r/>
            <w:r>
              <w:rPr>
                <w:rFonts w:ascii="Arial" w:hAnsi="Arial" w:eastAsia="Arial"/>
                <w:b w:val="0"/>
                <w:i w:val="0"/>
                <w:color w:val="000000"/>
                <w:sz w:val="20"/>
              </w:rPr>
              <w:t>parameter_adj = parameter + impact points</w:t>
            </w:r>
          </w:p>
        </w:tc>
        <w:tc>
          <w:tcPr>
            <w:tcW w:type="dxa" w:w="1247"/>
          </w:tcPr>
          <w:p>
            <w:pPr>
              <w:jc w:val="left"/>
            </w:pPr>
            <w:r/>
            <w:r>
              <w:rPr>
                <w:rFonts w:ascii="Arial" w:hAnsi="Arial" w:eastAsia="Arial"/>
                <w:b w:val="0"/>
                <w:i w:val="0"/>
                <w:color w:val="000000"/>
                <w:sz w:val="20"/>
              </w:rPr>
              <w:t>зміна використовується тільки як модельна чутливість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R01</w:t>
            </w:r>
          </w:p>
        </w:tc>
        <w:tc>
          <w:tcPr>
            <w:tcW w:type="dxa" w:w="1247"/>
          </w:tcPr>
          <w:p>
            <w:pPr>
              <w:jc w:val="left"/>
            </w:pPr>
            <w:r/>
            <w:r>
              <w:rPr>
                <w:rFonts w:ascii="Arial" w:hAnsi="Arial" w:eastAsia="Arial"/>
                <w:b w:val="0"/>
                <w:i w:val="0"/>
                <w:color w:val="000000"/>
                <w:sz w:val="20"/>
              </w:rPr>
              <w:t>P02</w:t>
            </w:r>
          </w:p>
        </w:tc>
        <w:tc>
          <w:tcPr>
            <w:tcW w:type="dxa" w:w="1247"/>
          </w:tcPr>
          <w:p>
            <w:pPr>
              <w:jc w:val="left"/>
            </w:pPr>
            <w:r/>
            <w:r>
              <w:rPr>
                <w:rFonts w:ascii="Arial" w:hAnsi="Arial" w:eastAsia="Arial"/>
                <w:b w:val="0"/>
                <w:i w:val="0"/>
                <w:color w:val="000000"/>
                <w:sz w:val="20"/>
              </w:rPr>
              <w:t>-12</w:t>
            </w:r>
          </w:p>
        </w:tc>
        <w:tc>
          <w:tcPr>
            <w:tcW w:type="dxa" w:w="1247"/>
          </w:tcPr>
          <w:p>
            <w:pPr>
              <w:jc w:val="left"/>
            </w:pPr>
            <w:r/>
            <w:r>
              <w:rPr>
                <w:rFonts w:ascii="Arial" w:hAnsi="Arial" w:eastAsia="Arial"/>
                <w:b w:val="0"/>
                <w:i w:val="0"/>
                <w:color w:val="000000"/>
                <w:sz w:val="20"/>
              </w:rPr>
              <w:t>-6.6</w:t>
            </w:r>
          </w:p>
        </w:tc>
        <w:tc>
          <w:tcPr>
            <w:tcW w:type="dxa" w:w="1247"/>
          </w:tcPr>
          <w:p>
            <w:pPr>
              <w:jc w:val="left"/>
            </w:pPr>
            <w:r/>
            <w:r>
              <w:rPr>
                <w:rFonts w:ascii="Arial" w:hAnsi="Arial" w:eastAsia="Arial"/>
                <w:b w:val="0"/>
                <w:i w:val="0"/>
                <w:color w:val="000000"/>
                <w:sz w:val="20"/>
              </w:rPr>
              <w:t>-3.0</w:t>
            </w:r>
          </w:p>
        </w:tc>
        <w:tc>
          <w:tcPr>
            <w:tcW w:type="dxa" w:w="1247"/>
          </w:tcPr>
          <w:p>
            <w:pPr>
              <w:jc w:val="left"/>
            </w:pPr>
            <w:r/>
            <w:r>
              <w:rPr>
                <w:rFonts w:ascii="Arial" w:hAnsi="Arial" w:eastAsia="Arial"/>
                <w:b w:val="0"/>
                <w:i w:val="0"/>
                <w:color w:val="000000"/>
                <w:sz w:val="20"/>
              </w:rPr>
              <w:t>parameter_adj = parameter + impact points</w:t>
            </w:r>
          </w:p>
        </w:tc>
        <w:tc>
          <w:tcPr>
            <w:tcW w:type="dxa" w:w="1247"/>
          </w:tcPr>
          <w:p>
            <w:pPr>
              <w:jc w:val="left"/>
            </w:pPr>
            <w:r/>
            <w:r>
              <w:rPr>
                <w:rFonts w:ascii="Arial" w:hAnsi="Arial" w:eastAsia="Arial"/>
                <w:b w:val="0"/>
                <w:i w:val="0"/>
                <w:color w:val="000000"/>
                <w:sz w:val="20"/>
              </w:rPr>
              <w:t>зміна використовується тільки як модельна чутливість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R02</w:t>
            </w:r>
          </w:p>
        </w:tc>
        <w:tc>
          <w:tcPr>
            <w:tcW w:type="dxa" w:w="1247"/>
          </w:tcPr>
          <w:p>
            <w:pPr>
              <w:jc w:val="left"/>
            </w:pPr>
            <w:r/>
            <w:r>
              <w:rPr>
                <w:rFonts w:ascii="Arial" w:hAnsi="Arial" w:eastAsia="Arial"/>
                <w:b w:val="0"/>
                <w:i w:val="0"/>
                <w:color w:val="000000"/>
                <w:sz w:val="20"/>
              </w:rPr>
              <w:t>P01</w:t>
            </w:r>
          </w:p>
        </w:tc>
        <w:tc>
          <w:tcPr>
            <w:tcW w:type="dxa" w:w="1247"/>
          </w:tcPr>
          <w:p>
            <w:pPr>
              <w:jc w:val="left"/>
            </w:pPr>
            <w:r/>
            <w:r>
              <w:rPr>
                <w:rFonts w:ascii="Arial" w:hAnsi="Arial" w:eastAsia="Arial"/>
                <w:b w:val="0"/>
                <w:i w:val="0"/>
                <w:color w:val="000000"/>
                <w:sz w:val="20"/>
              </w:rPr>
              <w:t>-18</w:t>
            </w:r>
          </w:p>
        </w:tc>
        <w:tc>
          <w:tcPr>
            <w:tcW w:type="dxa" w:w="1247"/>
          </w:tcPr>
          <w:p>
            <w:pPr>
              <w:jc w:val="left"/>
            </w:pPr>
            <w:r/>
            <w:r>
              <w:rPr>
                <w:rFonts w:ascii="Arial" w:hAnsi="Arial" w:eastAsia="Arial"/>
                <w:b w:val="0"/>
                <w:i w:val="0"/>
                <w:color w:val="000000"/>
                <w:sz w:val="20"/>
              </w:rPr>
              <w:t>-9.9</w:t>
            </w:r>
          </w:p>
        </w:tc>
        <w:tc>
          <w:tcPr>
            <w:tcW w:type="dxa" w:w="1247"/>
          </w:tcPr>
          <w:p>
            <w:pPr>
              <w:jc w:val="left"/>
            </w:pPr>
            <w:r/>
            <w:r>
              <w:rPr>
                <w:rFonts w:ascii="Arial" w:hAnsi="Arial" w:eastAsia="Arial"/>
                <w:b w:val="0"/>
                <w:i w:val="0"/>
                <w:color w:val="000000"/>
                <w:sz w:val="20"/>
              </w:rPr>
              <w:t>-4.5</w:t>
            </w:r>
          </w:p>
        </w:tc>
        <w:tc>
          <w:tcPr>
            <w:tcW w:type="dxa" w:w="1247"/>
          </w:tcPr>
          <w:p>
            <w:pPr>
              <w:jc w:val="left"/>
            </w:pPr>
            <w:r/>
            <w:r>
              <w:rPr>
                <w:rFonts w:ascii="Arial" w:hAnsi="Arial" w:eastAsia="Arial"/>
                <w:b w:val="0"/>
                <w:i w:val="0"/>
                <w:color w:val="000000"/>
                <w:sz w:val="20"/>
              </w:rPr>
              <w:t>parameter_adj = parameter + impact points</w:t>
            </w:r>
          </w:p>
        </w:tc>
        <w:tc>
          <w:tcPr>
            <w:tcW w:type="dxa" w:w="1247"/>
          </w:tcPr>
          <w:p>
            <w:pPr>
              <w:jc w:val="left"/>
            </w:pPr>
            <w:r/>
            <w:r>
              <w:rPr>
                <w:rFonts w:ascii="Arial" w:hAnsi="Arial" w:eastAsia="Arial"/>
                <w:b w:val="0"/>
                <w:i w:val="0"/>
                <w:color w:val="000000"/>
                <w:sz w:val="20"/>
              </w:rPr>
              <w:t>зміна використовується тільки як модельна чутливість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R02</w:t>
            </w:r>
          </w:p>
        </w:tc>
        <w:tc>
          <w:tcPr>
            <w:tcW w:type="dxa" w:w="1247"/>
          </w:tcPr>
          <w:p>
            <w:pPr>
              <w:jc w:val="left"/>
            </w:pPr>
            <w:r/>
            <w:r>
              <w:rPr>
                <w:rFonts w:ascii="Arial" w:hAnsi="Arial" w:eastAsia="Arial"/>
                <w:b w:val="0"/>
                <w:i w:val="0"/>
                <w:color w:val="000000"/>
                <w:sz w:val="20"/>
              </w:rPr>
              <w:t>P07</w:t>
            </w:r>
          </w:p>
        </w:tc>
        <w:tc>
          <w:tcPr>
            <w:tcW w:type="dxa" w:w="1247"/>
          </w:tcPr>
          <w:p>
            <w:pPr>
              <w:jc w:val="left"/>
            </w:pPr>
            <w:r/>
            <w:r>
              <w:rPr>
                <w:rFonts w:ascii="Arial" w:hAnsi="Arial" w:eastAsia="Arial"/>
                <w:b w:val="0"/>
                <w:i w:val="0"/>
                <w:color w:val="000000"/>
                <w:sz w:val="20"/>
              </w:rPr>
              <w:t>-12</w:t>
            </w:r>
          </w:p>
        </w:tc>
        <w:tc>
          <w:tcPr>
            <w:tcW w:type="dxa" w:w="1247"/>
          </w:tcPr>
          <w:p>
            <w:pPr>
              <w:jc w:val="left"/>
            </w:pPr>
            <w:r/>
            <w:r>
              <w:rPr>
                <w:rFonts w:ascii="Arial" w:hAnsi="Arial" w:eastAsia="Arial"/>
                <w:b w:val="0"/>
                <w:i w:val="0"/>
                <w:color w:val="000000"/>
                <w:sz w:val="20"/>
              </w:rPr>
              <w:t>-6.6</w:t>
            </w:r>
          </w:p>
        </w:tc>
        <w:tc>
          <w:tcPr>
            <w:tcW w:type="dxa" w:w="1247"/>
          </w:tcPr>
          <w:p>
            <w:pPr>
              <w:jc w:val="left"/>
            </w:pPr>
            <w:r/>
            <w:r>
              <w:rPr>
                <w:rFonts w:ascii="Arial" w:hAnsi="Arial" w:eastAsia="Arial"/>
                <w:b w:val="0"/>
                <w:i w:val="0"/>
                <w:color w:val="000000"/>
                <w:sz w:val="20"/>
              </w:rPr>
              <w:t>-3.0</w:t>
            </w:r>
          </w:p>
        </w:tc>
        <w:tc>
          <w:tcPr>
            <w:tcW w:type="dxa" w:w="1247"/>
          </w:tcPr>
          <w:p>
            <w:pPr>
              <w:jc w:val="left"/>
            </w:pPr>
            <w:r/>
            <w:r>
              <w:rPr>
                <w:rFonts w:ascii="Arial" w:hAnsi="Arial" w:eastAsia="Arial"/>
                <w:b w:val="0"/>
                <w:i w:val="0"/>
                <w:color w:val="000000"/>
                <w:sz w:val="20"/>
              </w:rPr>
              <w:t>parameter_adj = parameter + impact points</w:t>
            </w:r>
          </w:p>
        </w:tc>
        <w:tc>
          <w:tcPr>
            <w:tcW w:type="dxa" w:w="1247"/>
          </w:tcPr>
          <w:p>
            <w:pPr>
              <w:jc w:val="left"/>
            </w:pPr>
            <w:r/>
            <w:r>
              <w:rPr>
                <w:rFonts w:ascii="Arial" w:hAnsi="Arial" w:eastAsia="Arial"/>
                <w:b w:val="0"/>
                <w:i w:val="0"/>
                <w:color w:val="000000"/>
                <w:sz w:val="20"/>
              </w:rPr>
              <w:t>зміна використовується тільки як модельна чутливість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R03</w:t>
            </w:r>
          </w:p>
        </w:tc>
        <w:tc>
          <w:tcPr>
            <w:tcW w:type="dxa" w:w="1247"/>
          </w:tcPr>
          <w:p>
            <w:pPr>
              <w:jc w:val="left"/>
            </w:pPr>
            <w:r/>
            <w:r>
              <w:rPr>
                <w:rFonts w:ascii="Arial" w:hAnsi="Arial" w:eastAsia="Arial"/>
                <w:b w:val="0"/>
                <w:i w:val="0"/>
                <w:color w:val="000000"/>
                <w:sz w:val="20"/>
              </w:rPr>
              <w:t>P03</w:t>
            </w:r>
          </w:p>
        </w:tc>
        <w:tc>
          <w:tcPr>
            <w:tcW w:type="dxa" w:w="1247"/>
          </w:tcPr>
          <w:p>
            <w:pPr>
              <w:jc w:val="left"/>
            </w:pPr>
            <w:r/>
            <w:r>
              <w:rPr>
                <w:rFonts w:ascii="Arial" w:hAnsi="Arial" w:eastAsia="Arial"/>
                <w:b w:val="0"/>
                <w:i w:val="0"/>
                <w:color w:val="000000"/>
                <w:sz w:val="20"/>
              </w:rPr>
              <w:t>-20</w:t>
            </w:r>
          </w:p>
        </w:tc>
        <w:tc>
          <w:tcPr>
            <w:tcW w:type="dxa" w:w="1247"/>
          </w:tcPr>
          <w:p>
            <w:pPr>
              <w:jc w:val="left"/>
            </w:pPr>
            <w:r/>
            <w:r>
              <w:rPr>
                <w:rFonts w:ascii="Arial" w:hAnsi="Arial" w:eastAsia="Arial"/>
                <w:b w:val="0"/>
                <w:i w:val="0"/>
                <w:color w:val="000000"/>
                <w:sz w:val="20"/>
              </w:rPr>
              <w:t>-11.0</w:t>
            </w:r>
          </w:p>
        </w:tc>
        <w:tc>
          <w:tcPr>
            <w:tcW w:type="dxa" w:w="1247"/>
          </w:tcPr>
          <w:p>
            <w:pPr>
              <w:jc w:val="left"/>
            </w:pPr>
            <w:r/>
            <w:r>
              <w:rPr>
                <w:rFonts w:ascii="Arial" w:hAnsi="Arial" w:eastAsia="Arial"/>
                <w:b w:val="0"/>
                <w:i w:val="0"/>
                <w:color w:val="000000"/>
                <w:sz w:val="20"/>
              </w:rPr>
              <w:t>-5.0</w:t>
            </w:r>
          </w:p>
        </w:tc>
        <w:tc>
          <w:tcPr>
            <w:tcW w:type="dxa" w:w="1247"/>
          </w:tcPr>
          <w:p>
            <w:pPr>
              <w:jc w:val="left"/>
            </w:pPr>
            <w:r/>
            <w:r>
              <w:rPr>
                <w:rFonts w:ascii="Arial" w:hAnsi="Arial" w:eastAsia="Arial"/>
                <w:b w:val="0"/>
                <w:i w:val="0"/>
                <w:color w:val="000000"/>
                <w:sz w:val="20"/>
              </w:rPr>
              <w:t>parameter_adj = parameter + impact points</w:t>
            </w:r>
          </w:p>
        </w:tc>
        <w:tc>
          <w:tcPr>
            <w:tcW w:type="dxa" w:w="1247"/>
          </w:tcPr>
          <w:p>
            <w:pPr>
              <w:jc w:val="left"/>
            </w:pPr>
            <w:r/>
            <w:r>
              <w:rPr>
                <w:rFonts w:ascii="Arial" w:hAnsi="Arial" w:eastAsia="Arial"/>
                <w:b w:val="0"/>
                <w:i w:val="0"/>
                <w:color w:val="000000"/>
                <w:sz w:val="20"/>
              </w:rPr>
              <w:t>зміна використовується тільки як модельна чутливість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R04</w:t>
            </w:r>
          </w:p>
        </w:tc>
        <w:tc>
          <w:tcPr>
            <w:tcW w:type="dxa" w:w="1247"/>
          </w:tcPr>
          <w:p>
            <w:pPr>
              <w:jc w:val="left"/>
            </w:pPr>
            <w:r/>
            <w:r>
              <w:rPr>
                <w:rFonts w:ascii="Arial" w:hAnsi="Arial" w:eastAsia="Arial"/>
                <w:b w:val="0"/>
                <w:i w:val="0"/>
                <w:color w:val="000000"/>
                <w:sz w:val="20"/>
              </w:rPr>
              <w:t>P05</w:t>
            </w:r>
          </w:p>
        </w:tc>
        <w:tc>
          <w:tcPr>
            <w:tcW w:type="dxa" w:w="1247"/>
          </w:tcPr>
          <w:p>
            <w:pPr>
              <w:jc w:val="left"/>
            </w:pPr>
            <w:r/>
            <w:r>
              <w:rPr>
                <w:rFonts w:ascii="Arial" w:hAnsi="Arial" w:eastAsia="Arial"/>
                <w:b w:val="0"/>
                <w:i w:val="0"/>
                <w:color w:val="000000"/>
                <w:sz w:val="20"/>
              </w:rPr>
              <w:t>-18</w:t>
            </w:r>
          </w:p>
        </w:tc>
        <w:tc>
          <w:tcPr>
            <w:tcW w:type="dxa" w:w="1247"/>
          </w:tcPr>
          <w:p>
            <w:pPr>
              <w:jc w:val="left"/>
            </w:pPr>
            <w:r/>
            <w:r>
              <w:rPr>
                <w:rFonts w:ascii="Arial" w:hAnsi="Arial" w:eastAsia="Arial"/>
                <w:b w:val="0"/>
                <w:i w:val="0"/>
                <w:color w:val="000000"/>
                <w:sz w:val="20"/>
              </w:rPr>
              <w:t>-9.9</w:t>
            </w:r>
          </w:p>
        </w:tc>
        <w:tc>
          <w:tcPr>
            <w:tcW w:type="dxa" w:w="1247"/>
          </w:tcPr>
          <w:p>
            <w:pPr>
              <w:jc w:val="left"/>
            </w:pPr>
            <w:r/>
            <w:r>
              <w:rPr>
                <w:rFonts w:ascii="Arial" w:hAnsi="Arial" w:eastAsia="Arial"/>
                <w:b w:val="0"/>
                <w:i w:val="0"/>
                <w:color w:val="000000"/>
                <w:sz w:val="20"/>
              </w:rPr>
              <w:t>-4.5</w:t>
            </w:r>
          </w:p>
        </w:tc>
        <w:tc>
          <w:tcPr>
            <w:tcW w:type="dxa" w:w="1247"/>
          </w:tcPr>
          <w:p>
            <w:pPr>
              <w:jc w:val="left"/>
            </w:pPr>
            <w:r/>
            <w:r>
              <w:rPr>
                <w:rFonts w:ascii="Arial" w:hAnsi="Arial" w:eastAsia="Arial"/>
                <w:b w:val="0"/>
                <w:i w:val="0"/>
                <w:color w:val="000000"/>
                <w:sz w:val="20"/>
              </w:rPr>
              <w:t>parameter_adj = parameter + impact points</w:t>
            </w:r>
          </w:p>
        </w:tc>
        <w:tc>
          <w:tcPr>
            <w:tcW w:type="dxa" w:w="1247"/>
          </w:tcPr>
          <w:p>
            <w:pPr>
              <w:jc w:val="left"/>
            </w:pPr>
            <w:r/>
            <w:r>
              <w:rPr>
                <w:rFonts w:ascii="Arial" w:hAnsi="Arial" w:eastAsia="Arial"/>
                <w:b w:val="0"/>
                <w:i w:val="0"/>
                <w:color w:val="000000"/>
                <w:sz w:val="20"/>
              </w:rPr>
              <w:t>зміна використовується тільки як модельна чутливість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R05</w:t>
            </w:r>
          </w:p>
        </w:tc>
        <w:tc>
          <w:tcPr>
            <w:tcW w:type="dxa" w:w="1247"/>
          </w:tcPr>
          <w:p>
            <w:pPr>
              <w:jc w:val="left"/>
            </w:pPr>
            <w:r/>
            <w:r>
              <w:rPr>
                <w:rFonts w:ascii="Arial" w:hAnsi="Arial" w:eastAsia="Arial"/>
                <w:b w:val="0"/>
                <w:i w:val="0"/>
                <w:color w:val="000000"/>
                <w:sz w:val="20"/>
              </w:rPr>
              <w:t>P04</w:t>
            </w:r>
          </w:p>
        </w:tc>
        <w:tc>
          <w:tcPr>
            <w:tcW w:type="dxa" w:w="1247"/>
          </w:tcPr>
          <w:p>
            <w:pPr>
              <w:jc w:val="left"/>
            </w:pPr>
            <w:r/>
            <w:r>
              <w:rPr>
                <w:rFonts w:ascii="Arial" w:hAnsi="Arial" w:eastAsia="Arial"/>
                <w:b w:val="0"/>
                <w:i w:val="0"/>
                <w:color w:val="000000"/>
                <w:sz w:val="20"/>
              </w:rPr>
              <w:t>-18</w:t>
            </w:r>
          </w:p>
        </w:tc>
        <w:tc>
          <w:tcPr>
            <w:tcW w:type="dxa" w:w="1247"/>
          </w:tcPr>
          <w:p>
            <w:pPr>
              <w:jc w:val="left"/>
            </w:pPr>
            <w:r/>
            <w:r>
              <w:rPr>
                <w:rFonts w:ascii="Arial" w:hAnsi="Arial" w:eastAsia="Arial"/>
                <w:b w:val="0"/>
                <w:i w:val="0"/>
                <w:color w:val="000000"/>
                <w:sz w:val="20"/>
              </w:rPr>
              <w:t>-9.9</w:t>
            </w:r>
          </w:p>
        </w:tc>
        <w:tc>
          <w:tcPr>
            <w:tcW w:type="dxa" w:w="1247"/>
          </w:tcPr>
          <w:p>
            <w:pPr>
              <w:jc w:val="left"/>
            </w:pPr>
            <w:r/>
            <w:r>
              <w:rPr>
                <w:rFonts w:ascii="Arial" w:hAnsi="Arial" w:eastAsia="Arial"/>
                <w:b w:val="0"/>
                <w:i w:val="0"/>
                <w:color w:val="000000"/>
                <w:sz w:val="20"/>
              </w:rPr>
              <w:t>-4.5</w:t>
            </w:r>
          </w:p>
        </w:tc>
        <w:tc>
          <w:tcPr>
            <w:tcW w:type="dxa" w:w="1247"/>
          </w:tcPr>
          <w:p>
            <w:pPr>
              <w:jc w:val="left"/>
            </w:pPr>
            <w:r/>
            <w:r>
              <w:rPr>
                <w:rFonts w:ascii="Arial" w:hAnsi="Arial" w:eastAsia="Arial"/>
                <w:b w:val="0"/>
                <w:i w:val="0"/>
                <w:color w:val="000000"/>
                <w:sz w:val="20"/>
              </w:rPr>
              <w:t>parameter_adj = parameter + impact points</w:t>
            </w:r>
          </w:p>
        </w:tc>
        <w:tc>
          <w:tcPr>
            <w:tcW w:type="dxa" w:w="1247"/>
          </w:tcPr>
          <w:p>
            <w:pPr>
              <w:jc w:val="left"/>
            </w:pPr>
            <w:r/>
            <w:r>
              <w:rPr>
                <w:rFonts w:ascii="Arial" w:hAnsi="Arial" w:eastAsia="Arial"/>
                <w:b w:val="0"/>
                <w:i w:val="0"/>
                <w:color w:val="000000"/>
                <w:sz w:val="20"/>
              </w:rPr>
              <w:t>зміна використовується тільки як модельна чутливість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R05</w:t>
            </w:r>
          </w:p>
        </w:tc>
        <w:tc>
          <w:tcPr>
            <w:tcW w:type="dxa" w:w="1247"/>
          </w:tcPr>
          <w:p>
            <w:pPr>
              <w:jc w:val="left"/>
            </w:pPr>
            <w:r/>
            <w:r>
              <w:rPr>
                <w:rFonts w:ascii="Arial" w:hAnsi="Arial" w:eastAsia="Arial"/>
                <w:b w:val="0"/>
                <w:i w:val="0"/>
                <w:color w:val="000000"/>
                <w:sz w:val="20"/>
              </w:rPr>
              <w:t>P02</w:t>
            </w:r>
          </w:p>
        </w:tc>
        <w:tc>
          <w:tcPr>
            <w:tcW w:type="dxa" w:w="1247"/>
          </w:tcPr>
          <w:p>
            <w:pPr>
              <w:jc w:val="left"/>
            </w:pPr>
            <w:r/>
            <w:r>
              <w:rPr>
                <w:rFonts w:ascii="Arial" w:hAnsi="Arial" w:eastAsia="Arial"/>
                <w:b w:val="0"/>
                <w:i w:val="0"/>
                <w:color w:val="000000"/>
                <w:sz w:val="20"/>
              </w:rPr>
              <w:t>-10</w:t>
            </w:r>
          </w:p>
        </w:tc>
        <w:tc>
          <w:tcPr>
            <w:tcW w:type="dxa" w:w="1247"/>
          </w:tcPr>
          <w:p>
            <w:pPr>
              <w:jc w:val="left"/>
            </w:pPr>
            <w:r/>
            <w:r>
              <w:rPr>
                <w:rFonts w:ascii="Arial" w:hAnsi="Arial" w:eastAsia="Arial"/>
                <w:b w:val="0"/>
                <w:i w:val="0"/>
                <w:color w:val="000000"/>
                <w:sz w:val="20"/>
              </w:rPr>
              <w:t>-5.5</w:t>
            </w:r>
          </w:p>
        </w:tc>
        <w:tc>
          <w:tcPr>
            <w:tcW w:type="dxa" w:w="1247"/>
          </w:tcPr>
          <w:p>
            <w:pPr>
              <w:jc w:val="left"/>
            </w:pPr>
            <w:r/>
            <w:r>
              <w:rPr>
                <w:rFonts w:ascii="Arial" w:hAnsi="Arial" w:eastAsia="Arial"/>
                <w:b w:val="0"/>
                <w:i w:val="0"/>
                <w:color w:val="000000"/>
                <w:sz w:val="20"/>
              </w:rPr>
              <w:t>-2.5</w:t>
            </w:r>
          </w:p>
        </w:tc>
        <w:tc>
          <w:tcPr>
            <w:tcW w:type="dxa" w:w="1247"/>
          </w:tcPr>
          <w:p>
            <w:pPr>
              <w:jc w:val="left"/>
            </w:pPr>
            <w:r/>
            <w:r>
              <w:rPr>
                <w:rFonts w:ascii="Arial" w:hAnsi="Arial" w:eastAsia="Arial"/>
                <w:b w:val="0"/>
                <w:i w:val="0"/>
                <w:color w:val="000000"/>
                <w:sz w:val="20"/>
              </w:rPr>
              <w:t>parameter_adj = parameter + impact points</w:t>
            </w:r>
          </w:p>
        </w:tc>
        <w:tc>
          <w:tcPr>
            <w:tcW w:type="dxa" w:w="1247"/>
          </w:tcPr>
          <w:p>
            <w:pPr>
              <w:jc w:val="left"/>
            </w:pPr>
            <w:r/>
            <w:r>
              <w:rPr>
                <w:rFonts w:ascii="Arial" w:hAnsi="Arial" w:eastAsia="Arial"/>
                <w:b w:val="0"/>
                <w:i w:val="0"/>
                <w:color w:val="000000"/>
                <w:sz w:val="20"/>
              </w:rPr>
              <w:t>зміна використовується тільки як модельна чутливість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R06</w:t>
            </w:r>
          </w:p>
        </w:tc>
        <w:tc>
          <w:tcPr>
            <w:tcW w:type="dxa" w:w="1247"/>
          </w:tcPr>
          <w:p>
            <w:pPr>
              <w:jc w:val="left"/>
            </w:pPr>
            <w:r/>
            <w:r>
              <w:rPr>
                <w:rFonts w:ascii="Arial" w:hAnsi="Arial" w:eastAsia="Arial"/>
                <w:b w:val="0"/>
                <w:i w:val="0"/>
                <w:color w:val="000000"/>
                <w:sz w:val="20"/>
              </w:rPr>
              <w:t>P06</w:t>
            </w:r>
          </w:p>
        </w:tc>
        <w:tc>
          <w:tcPr>
            <w:tcW w:type="dxa" w:w="1247"/>
          </w:tcPr>
          <w:p>
            <w:pPr>
              <w:jc w:val="left"/>
            </w:pPr>
            <w:r/>
            <w:r>
              <w:rPr>
                <w:rFonts w:ascii="Arial" w:hAnsi="Arial" w:eastAsia="Arial"/>
                <w:b w:val="0"/>
                <w:i w:val="0"/>
                <w:color w:val="000000"/>
                <w:sz w:val="20"/>
              </w:rPr>
              <w:t>-15</w:t>
            </w:r>
          </w:p>
        </w:tc>
        <w:tc>
          <w:tcPr>
            <w:tcW w:type="dxa" w:w="1247"/>
          </w:tcPr>
          <w:p>
            <w:pPr>
              <w:jc w:val="left"/>
            </w:pPr>
            <w:r/>
            <w:r>
              <w:rPr>
                <w:rFonts w:ascii="Arial" w:hAnsi="Arial" w:eastAsia="Arial"/>
                <w:b w:val="0"/>
                <w:i w:val="0"/>
                <w:color w:val="000000"/>
                <w:sz w:val="20"/>
              </w:rPr>
              <w:t>-8.2</w:t>
            </w:r>
          </w:p>
        </w:tc>
        <w:tc>
          <w:tcPr>
            <w:tcW w:type="dxa" w:w="1247"/>
          </w:tcPr>
          <w:p>
            <w:pPr>
              <w:jc w:val="left"/>
            </w:pPr>
            <w:r/>
            <w:r>
              <w:rPr>
                <w:rFonts w:ascii="Arial" w:hAnsi="Arial" w:eastAsia="Arial"/>
                <w:b w:val="0"/>
                <w:i w:val="0"/>
                <w:color w:val="000000"/>
                <w:sz w:val="20"/>
              </w:rPr>
              <w:t>-3.8</w:t>
            </w:r>
          </w:p>
        </w:tc>
        <w:tc>
          <w:tcPr>
            <w:tcW w:type="dxa" w:w="1247"/>
          </w:tcPr>
          <w:p>
            <w:pPr>
              <w:jc w:val="left"/>
            </w:pPr>
            <w:r/>
            <w:r>
              <w:rPr>
                <w:rFonts w:ascii="Arial" w:hAnsi="Arial" w:eastAsia="Arial"/>
                <w:b w:val="0"/>
                <w:i w:val="0"/>
                <w:color w:val="000000"/>
                <w:sz w:val="20"/>
              </w:rPr>
              <w:t>parameter_adj = parameter + impact points</w:t>
            </w:r>
          </w:p>
        </w:tc>
        <w:tc>
          <w:tcPr>
            <w:tcW w:type="dxa" w:w="1247"/>
          </w:tcPr>
          <w:p>
            <w:pPr>
              <w:jc w:val="left"/>
            </w:pPr>
            <w:r/>
            <w:r>
              <w:rPr>
                <w:rFonts w:ascii="Arial" w:hAnsi="Arial" w:eastAsia="Arial"/>
                <w:b w:val="0"/>
                <w:i w:val="0"/>
                <w:color w:val="000000"/>
                <w:sz w:val="20"/>
              </w:rPr>
              <w:t>зміна використовується тільки як модельна чутливість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R07</w:t>
            </w:r>
          </w:p>
        </w:tc>
        <w:tc>
          <w:tcPr>
            <w:tcW w:type="dxa" w:w="1247"/>
          </w:tcPr>
          <w:p>
            <w:pPr>
              <w:jc w:val="left"/>
            </w:pPr>
            <w:r/>
            <w:r>
              <w:rPr>
                <w:rFonts w:ascii="Arial" w:hAnsi="Arial" w:eastAsia="Arial"/>
                <w:b w:val="0"/>
                <w:i w:val="0"/>
                <w:color w:val="000000"/>
                <w:sz w:val="20"/>
              </w:rPr>
              <w:t>P03</w:t>
            </w:r>
          </w:p>
        </w:tc>
        <w:tc>
          <w:tcPr>
            <w:tcW w:type="dxa" w:w="1247"/>
          </w:tcPr>
          <w:p>
            <w:pPr>
              <w:jc w:val="left"/>
            </w:pPr>
            <w:r/>
            <w:r>
              <w:rPr>
                <w:rFonts w:ascii="Arial" w:hAnsi="Arial" w:eastAsia="Arial"/>
                <w:b w:val="0"/>
                <w:i w:val="0"/>
                <w:color w:val="000000"/>
                <w:sz w:val="20"/>
              </w:rPr>
              <w:t>-12</w:t>
            </w:r>
          </w:p>
        </w:tc>
        <w:tc>
          <w:tcPr>
            <w:tcW w:type="dxa" w:w="1247"/>
          </w:tcPr>
          <w:p>
            <w:pPr>
              <w:jc w:val="left"/>
            </w:pPr>
            <w:r/>
            <w:r>
              <w:rPr>
                <w:rFonts w:ascii="Arial" w:hAnsi="Arial" w:eastAsia="Arial"/>
                <w:b w:val="0"/>
                <w:i w:val="0"/>
                <w:color w:val="000000"/>
                <w:sz w:val="20"/>
              </w:rPr>
              <w:t>-6.6</w:t>
            </w:r>
          </w:p>
        </w:tc>
        <w:tc>
          <w:tcPr>
            <w:tcW w:type="dxa" w:w="1247"/>
          </w:tcPr>
          <w:p>
            <w:pPr>
              <w:jc w:val="left"/>
            </w:pPr>
            <w:r/>
            <w:r>
              <w:rPr>
                <w:rFonts w:ascii="Arial" w:hAnsi="Arial" w:eastAsia="Arial"/>
                <w:b w:val="0"/>
                <w:i w:val="0"/>
                <w:color w:val="000000"/>
                <w:sz w:val="20"/>
              </w:rPr>
              <w:t>-3.0</w:t>
            </w:r>
          </w:p>
        </w:tc>
        <w:tc>
          <w:tcPr>
            <w:tcW w:type="dxa" w:w="1247"/>
          </w:tcPr>
          <w:p>
            <w:pPr>
              <w:jc w:val="left"/>
            </w:pPr>
            <w:r/>
            <w:r>
              <w:rPr>
                <w:rFonts w:ascii="Arial" w:hAnsi="Arial" w:eastAsia="Arial"/>
                <w:b w:val="0"/>
                <w:i w:val="0"/>
                <w:color w:val="000000"/>
                <w:sz w:val="20"/>
              </w:rPr>
              <w:t>parameter_adj = parameter + impact points</w:t>
            </w:r>
          </w:p>
        </w:tc>
        <w:tc>
          <w:tcPr>
            <w:tcW w:type="dxa" w:w="1247"/>
          </w:tcPr>
          <w:p>
            <w:pPr>
              <w:jc w:val="left"/>
            </w:pPr>
            <w:r/>
            <w:r>
              <w:rPr>
                <w:rFonts w:ascii="Arial" w:hAnsi="Arial" w:eastAsia="Arial"/>
                <w:b w:val="0"/>
                <w:i w:val="0"/>
                <w:color w:val="000000"/>
                <w:sz w:val="20"/>
              </w:rPr>
              <w:t>зміна використовується тільки як модельна чутливість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R08</w:t>
            </w:r>
          </w:p>
        </w:tc>
        <w:tc>
          <w:tcPr>
            <w:tcW w:type="dxa" w:w="1247"/>
          </w:tcPr>
          <w:p>
            <w:pPr>
              <w:jc w:val="left"/>
            </w:pPr>
            <w:r/>
            <w:r>
              <w:rPr>
                <w:rFonts w:ascii="Arial" w:hAnsi="Arial" w:eastAsia="Arial"/>
                <w:b w:val="0"/>
                <w:i w:val="0"/>
                <w:color w:val="000000"/>
                <w:sz w:val="20"/>
              </w:rPr>
              <w:t>P08</w:t>
            </w:r>
          </w:p>
        </w:tc>
        <w:tc>
          <w:tcPr>
            <w:tcW w:type="dxa" w:w="1247"/>
          </w:tcPr>
          <w:p>
            <w:pPr>
              <w:jc w:val="left"/>
            </w:pPr>
            <w:r/>
            <w:r>
              <w:rPr>
                <w:rFonts w:ascii="Arial" w:hAnsi="Arial" w:eastAsia="Arial"/>
                <w:b w:val="0"/>
                <w:i w:val="0"/>
                <w:color w:val="000000"/>
                <w:sz w:val="20"/>
              </w:rPr>
              <w:t>-12</w:t>
            </w:r>
          </w:p>
        </w:tc>
        <w:tc>
          <w:tcPr>
            <w:tcW w:type="dxa" w:w="1247"/>
          </w:tcPr>
          <w:p>
            <w:pPr>
              <w:jc w:val="left"/>
            </w:pPr>
            <w:r/>
            <w:r>
              <w:rPr>
                <w:rFonts w:ascii="Arial" w:hAnsi="Arial" w:eastAsia="Arial"/>
                <w:b w:val="0"/>
                <w:i w:val="0"/>
                <w:color w:val="000000"/>
                <w:sz w:val="20"/>
              </w:rPr>
              <w:t>-6.6</w:t>
            </w:r>
          </w:p>
        </w:tc>
        <w:tc>
          <w:tcPr>
            <w:tcW w:type="dxa" w:w="1247"/>
          </w:tcPr>
          <w:p>
            <w:pPr>
              <w:jc w:val="left"/>
            </w:pPr>
            <w:r/>
            <w:r>
              <w:rPr>
                <w:rFonts w:ascii="Arial" w:hAnsi="Arial" w:eastAsia="Arial"/>
                <w:b w:val="0"/>
                <w:i w:val="0"/>
                <w:color w:val="000000"/>
                <w:sz w:val="20"/>
              </w:rPr>
              <w:t>-3.0</w:t>
            </w:r>
          </w:p>
        </w:tc>
        <w:tc>
          <w:tcPr>
            <w:tcW w:type="dxa" w:w="1247"/>
          </w:tcPr>
          <w:p>
            <w:pPr>
              <w:jc w:val="left"/>
            </w:pPr>
            <w:r/>
            <w:r>
              <w:rPr>
                <w:rFonts w:ascii="Arial" w:hAnsi="Arial" w:eastAsia="Arial"/>
                <w:b w:val="0"/>
                <w:i w:val="0"/>
                <w:color w:val="000000"/>
                <w:sz w:val="20"/>
              </w:rPr>
              <w:t>parameter_adj = parameter + impact points</w:t>
            </w:r>
          </w:p>
        </w:tc>
        <w:tc>
          <w:tcPr>
            <w:tcW w:type="dxa" w:w="1247"/>
          </w:tcPr>
          <w:p>
            <w:pPr>
              <w:jc w:val="left"/>
            </w:pPr>
            <w:r/>
            <w:r>
              <w:rPr>
                <w:rFonts w:ascii="Arial" w:hAnsi="Arial" w:eastAsia="Arial"/>
                <w:b w:val="0"/>
                <w:i w:val="0"/>
                <w:color w:val="000000"/>
                <w:sz w:val="20"/>
              </w:rPr>
              <w:t>зміна використовується тільки як модельна чутливість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R08</w:t>
            </w:r>
          </w:p>
        </w:tc>
        <w:tc>
          <w:tcPr>
            <w:tcW w:type="dxa" w:w="1247"/>
          </w:tcPr>
          <w:p>
            <w:pPr>
              <w:jc w:val="left"/>
            </w:pPr>
            <w:r/>
            <w:r>
              <w:rPr>
                <w:rFonts w:ascii="Arial" w:hAnsi="Arial" w:eastAsia="Arial"/>
                <w:b w:val="0"/>
                <w:i w:val="0"/>
                <w:color w:val="000000"/>
                <w:sz w:val="20"/>
              </w:rPr>
              <w:t>P09</w:t>
            </w:r>
          </w:p>
        </w:tc>
        <w:tc>
          <w:tcPr>
            <w:tcW w:type="dxa" w:w="1247"/>
          </w:tcPr>
          <w:p>
            <w:pPr>
              <w:jc w:val="left"/>
            </w:pPr>
            <w:r/>
            <w:r>
              <w:rPr>
                <w:rFonts w:ascii="Arial" w:hAnsi="Arial" w:eastAsia="Arial"/>
                <w:b w:val="0"/>
                <w:i w:val="0"/>
                <w:color w:val="000000"/>
                <w:sz w:val="20"/>
              </w:rPr>
              <w:t>-15</w:t>
            </w:r>
          </w:p>
        </w:tc>
        <w:tc>
          <w:tcPr>
            <w:tcW w:type="dxa" w:w="1247"/>
          </w:tcPr>
          <w:p>
            <w:pPr>
              <w:jc w:val="left"/>
            </w:pPr>
            <w:r/>
            <w:r>
              <w:rPr>
                <w:rFonts w:ascii="Arial" w:hAnsi="Arial" w:eastAsia="Arial"/>
                <w:b w:val="0"/>
                <w:i w:val="0"/>
                <w:color w:val="000000"/>
                <w:sz w:val="20"/>
              </w:rPr>
              <w:t>-8.2</w:t>
            </w:r>
          </w:p>
        </w:tc>
        <w:tc>
          <w:tcPr>
            <w:tcW w:type="dxa" w:w="1247"/>
          </w:tcPr>
          <w:p>
            <w:pPr>
              <w:jc w:val="left"/>
            </w:pPr>
            <w:r/>
            <w:r>
              <w:rPr>
                <w:rFonts w:ascii="Arial" w:hAnsi="Arial" w:eastAsia="Arial"/>
                <w:b w:val="0"/>
                <w:i w:val="0"/>
                <w:color w:val="000000"/>
                <w:sz w:val="20"/>
              </w:rPr>
              <w:t>-3.8</w:t>
            </w:r>
          </w:p>
        </w:tc>
        <w:tc>
          <w:tcPr>
            <w:tcW w:type="dxa" w:w="1247"/>
          </w:tcPr>
          <w:p>
            <w:pPr>
              <w:jc w:val="left"/>
            </w:pPr>
            <w:r/>
            <w:r>
              <w:rPr>
                <w:rFonts w:ascii="Arial" w:hAnsi="Arial" w:eastAsia="Arial"/>
                <w:b w:val="0"/>
                <w:i w:val="0"/>
                <w:color w:val="000000"/>
                <w:sz w:val="20"/>
              </w:rPr>
              <w:t>parameter_adj = parameter + impact points</w:t>
            </w:r>
          </w:p>
        </w:tc>
        <w:tc>
          <w:tcPr>
            <w:tcW w:type="dxa" w:w="1247"/>
          </w:tcPr>
          <w:p>
            <w:pPr>
              <w:jc w:val="left"/>
            </w:pPr>
            <w:r/>
            <w:r>
              <w:rPr>
                <w:rFonts w:ascii="Arial" w:hAnsi="Arial" w:eastAsia="Arial"/>
                <w:b w:val="0"/>
                <w:i w:val="0"/>
                <w:color w:val="000000"/>
                <w:sz w:val="20"/>
              </w:rPr>
              <w:t>зміна використовується тільки як модельна чутливість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R08</w:t>
            </w:r>
          </w:p>
        </w:tc>
        <w:tc>
          <w:tcPr>
            <w:tcW w:type="dxa" w:w="1247"/>
          </w:tcPr>
          <w:p>
            <w:pPr>
              <w:jc w:val="left"/>
            </w:pPr>
            <w:r/>
            <w:r>
              <w:rPr>
                <w:rFonts w:ascii="Arial" w:hAnsi="Arial" w:eastAsia="Arial"/>
                <w:b w:val="0"/>
                <w:i w:val="0"/>
                <w:color w:val="000000"/>
                <w:sz w:val="20"/>
              </w:rPr>
              <w:t>P10</w:t>
            </w:r>
          </w:p>
        </w:tc>
        <w:tc>
          <w:tcPr>
            <w:tcW w:type="dxa" w:w="1247"/>
          </w:tcPr>
          <w:p>
            <w:pPr>
              <w:jc w:val="left"/>
            </w:pPr>
            <w:r/>
            <w:r>
              <w:rPr>
                <w:rFonts w:ascii="Arial" w:hAnsi="Arial" w:eastAsia="Arial"/>
                <w:b w:val="0"/>
                <w:i w:val="0"/>
                <w:color w:val="000000"/>
                <w:sz w:val="20"/>
              </w:rPr>
              <w:t>-8</w:t>
            </w:r>
          </w:p>
        </w:tc>
        <w:tc>
          <w:tcPr>
            <w:tcW w:type="dxa" w:w="1247"/>
          </w:tcPr>
          <w:p>
            <w:pPr>
              <w:jc w:val="left"/>
            </w:pPr>
            <w:r/>
            <w:r>
              <w:rPr>
                <w:rFonts w:ascii="Arial" w:hAnsi="Arial" w:eastAsia="Arial"/>
                <w:b w:val="0"/>
                <w:i w:val="0"/>
                <w:color w:val="000000"/>
                <w:sz w:val="20"/>
              </w:rPr>
              <w:t>-4.4</w:t>
            </w:r>
          </w:p>
        </w:tc>
        <w:tc>
          <w:tcPr>
            <w:tcW w:type="dxa" w:w="1247"/>
          </w:tcPr>
          <w:p>
            <w:pPr>
              <w:jc w:val="left"/>
            </w:pPr>
            <w:r/>
            <w:r>
              <w:rPr>
                <w:rFonts w:ascii="Arial" w:hAnsi="Arial" w:eastAsia="Arial"/>
                <w:b w:val="0"/>
                <w:i w:val="0"/>
                <w:color w:val="000000"/>
                <w:sz w:val="20"/>
              </w:rPr>
              <w:t>-2.0</w:t>
            </w:r>
          </w:p>
        </w:tc>
        <w:tc>
          <w:tcPr>
            <w:tcW w:type="dxa" w:w="1247"/>
          </w:tcPr>
          <w:p>
            <w:pPr>
              <w:jc w:val="left"/>
            </w:pPr>
            <w:r/>
            <w:r>
              <w:rPr>
                <w:rFonts w:ascii="Arial" w:hAnsi="Arial" w:eastAsia="Arial"/>
                <w:b w:val="0"/>
                <w:i w:val="0"/>
                <w:color w:val="000000"/>
                <w:sz w:val="20"/>
              </w:rPr>
              <w:t>parameter_adj = parameter + impact points</w:t>
            </w:r>
          </w:p>
        </w:tc>
        <w:tc>
          <w:tcPr>
            <w:tcW w:type="dxa" w:w="1247"/>
          </w:tcPr>
          <w:p>
            <w:pPr>
              <w:jc w:val="left"/>
            </w:pPr>
            <w:r/>
            <w:r>
              <w:rPr>
                <w:rFonts w:ascii="Arial" w:hAnsi="Arial" w:eastAsia="Arial"/>
                <w:b w:val="0"/>
                <w:i w:val="0"/>
                <w:color w:val="000000"/>
                <w:sz w:val="20"/>
              </w:rPr>
              <w:t>зміна використовується тільки як модельна чутливість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R09</w:t>
            </w:r>
          </w:p>
        </w:tc>
        <w:tc>
          <w:tcPr>
            <w:tcW w:type="dxa" w:w="1247"/>
          </w:tcPr>
          <w:p>
            <w:pPr>
              <w:jc w:val="left"/>
            </w:pPr>
            <w:r/>
            <w:r>
              <w:rPr>
                <w:rFonts w:ascii="Arial" w:hAnsi="Arial" w:eastAsia="Arial"/>
                <w:b w:val="0"/>
                <w:i w:val="0"/>
                <w:color w:val="000000"/>
                <w:sz w:val="20"/>
              </w:rPr>
              <w:t>P10</w:t>
            </w:r>
          </w:p>
        </w:tc>
        <w:tc>
          <w:tcPr>
            <w:tcW w:type="dxa" w:w="1247"/>
          </w:tcPr>
          <w:p>
            <w:pPr>
              <w:jc w:val="left"/>
            </w:pPr>
            <w:r/>
            <w:r>
              <w:rPr>
                <w:rFonts w:ascii="Arial" w:hAnsi="Arial" w:eastAsia="Arial"/>
                <w:b w:val="0"/>
                <w:i w:val="0"/>
                <w:color w:val="000000"/>
                <w:sz w:val="20"/>
              </w:rPr>
              <w:t>-15</w:t>
            </w:r>
          </w:p>
        </w:tc>
        <w:tc>
          <w:tcPr>
            <w:tcW w:type="dxa" w:w="1247"/>
          </w:tcPr>
          <w:p>
            <w:pPr>
              <w:jc w:val="left"/>
            </w:pPr>
            <w:r/>
            <w:r>
              <w:rPr>
                <w:rFonts w:ascii="Arial" w:hAnsi="Arial" w:eastAsia="Arial"/>
                <w:b w:val="0"/>
                <w:i w:val="0"/>
                <w:color w:val="000000"/>
                <w:sz w:val="20"/>
              </w:rPr>
              <w:t>-8.2</w:t>
            </w:r>
          </w:p>
        </w:tc>
        <w:tc>
          <w:tcPr>
            <w:tcW w:type="dxa" w:w="1247"/>
          </w:tcPr>
          <w:p>
            <w:pPr>
              <w:jc w:val="left"/>
            </w:pPr>
            <w:r/>
            <w:r>
              <w:rPr>
                <w:rFonts w:ascii="Arial" w:hAnsi="Arial" w:eastAsia="Arial"/>
                <w:b w:val="0"/>
                <w:i w:val="0"/>
                <w:color w:val="000000"/>
                <w:sz w:val="20"/>
              </w:rPr>
              <w:t>-3.8</w:t>
            </w:r>
          </w:p>
        </w:tc>
        <w:tc>
          <w:tcPr>
            <w:tcW w:type="dxa" w:w="1247"/>
          </w:tcPr>
          <w:p>
            <w:pPr>
              <w:jc w:val="left"/>
            </w:pPr>
            <w:r/>
            <w:r>
              <w:rPr>
                <w:rFonts w:ascii="Arial" w:hAnsi="Arial" w:eastAsia="Arial"/>
                <w:b w:val="0"/>
                <w:i w:val="0"/>
                <w:color w:val="000000"/>
                <w:sz w:val="20"/>
              </w:rPr>
              <w:t>parameter_adj = parameter + impact points</w:t>
            </w:r>
          </w:p>
        </w:tc>
        <w:tc>
          <w:tcPr>
            <w:tcW w:type="dxa" w:w="1247"/>
          </w:tcPr>
          <w:p>
            <w:pPr>
              <w:jc w:val="left"/>
            </w:pPr>
            <w:r/>
            <w:r>
              <w:rPr>
                <w:rFonts w:ascii="Arial" w:hAnsi="Arial" w:eastAsia="Arial"/>
                <w:b w:val="0"/>
                <w:i w:val="0"/>
                <w:color w:val="000000"/>
                <w:sz w:val="20"/>
              </w:rPr>
              <w:t>зміна використовується тільки як модельна чутливість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R10</w:t>
            </w:r>
          </w:p>
        </w:tc>
        <w:tc>
          <w:tcPr>
            <w:tcW w:type="dxa" w:w="1247"/>
          </w:tcPr>
          <w:p>
            <w:pPr>
              <w:jc w:val="left"/>
            </w:pPr>
            <w:r/>
            <w:r>
              <w:rPr>
                <w:rFonts w:ascii="Arial" w:hAnsi="Arial" w:eastAsia="Arial"/>
                <w:b w:val="0"/>
                <w:i w:val="0"/>
                <w:color w:val="000000"/>
                <w:sz w:val="20"/>
              </w:rPr>
              <w:t>P05</w:t>
            </w:r>
          </w:p>
        </w:tc>
        <w:tc>
          <w:tcPr>
            <w:tcW w:type="dxa" w:w="1247"/>
          </w:tcPr>
          <w:p>
            <w:pPr>
              <w:jc w:val="left"/>
            </w:pPr>
            <w:r/>
            <w:r>
              <w:rPr>
                <w:rFonts w:ascii="Arial" w:hAnsi="Arial" w:eastAsia="Arial"/>
                <w:b w:val="0"/>
                <w:i w:val="0"/>
                <w:color w:val="000000"/>
                <w:sz w:val="20"/>
              </w:rPr>
              <w:t>-10</w:t>
            </w:r>
          </w:p>
        </w:tc>
        <w:tc>
          <w:tcPr>
            <w:tcW w:type="dxa" w:w="1247"/>
          </w:tcPr>
          <w:p>
            <w:pPr>
              <w:jc w:val="left"/>
            </w:pPr>
            <w:r/>
            <w:r>
              <w:rPr>
                <w:rFonts w:ascii="Arial" w:hAnsi="Arial" w:eastAsia="Arial"/>
                <w:b w:val="0"/>
                <w:i w:val="0"/>
                <w:color w:val="000000"/>
                <w:sz w:val="20"/>
              </w:rPr>
              <w:t>-5.5</w:t>
            </w:r>
          </w:p>
        </w:tc>
        <w:tc>
          <w:tcPr>
            <w:tcW w:type="dxa" w:w="1247"/>
          </w:tcPr>
          <w:p>
            <w:pPr>
              <w:jc w:val="left"/>
            </w:pPr>
            <w:r/>
            <w:r>
              <w:rPr>
                <w:rFonts w:ascii="Arial" w:hAnsi="Arial" w:eastAsia="Arial"/>
                <w:b w:val="0"/>
                <w:i w:val="0"/>
                <w:color w:val="000000"/>
                <w:sz w:val="20"/>
              </w:rPr>
              <w:t>-2.5</w:t>
            </w:r>
          </w:p>
        </w:tc>
        <w:tc>
          <w:tcPr>
            <w:tcW w:type="dxa" w:w="1247"/>
          </w:tcPr>
          <w:p>
            <w:pPr>
              <w:jc w:val="left"/>
            </w:pPr>
            <w:r/>
            <w:r>
              <w:rPr>
                <w:rFonts w:ascii="Arial" w:hAnsi="Arial" w:eastAsia="Arial"/>
                <w:b w:val="0"/>
                <w:i w:val="0"/>
                <w:color w:val="000000"/>
                <w:sz w:val="20"/>
              </w:rPr>
              <w:t>parameter_adj = parameter + impact points</w:t>
            </w:r>
          </w:p>
        </w:tc>
        <w:tc>
          <w:tcPr>
            <w:tcW w:type="dxa" w:w="1247"/>
          </w:tcPr>
          <w:p>
            <w:pPr>
              <w:jc w:val="left"/>
            </w:pPr>
            <w:r/>
            <w:r>
              <w:rPr>
                <w:rFonts w:ascii="Arial" w:hAnsi="Arial" w:eastAsia="Arial"/>
                <w:b w:val="0"/>
                <w:i w:val="0"/>
                <w:color w:val="000000"/>
                <w:sz w:val="20"/>
              </w:rPr>
              <w:t>зміна використовується тільки як модельна чутливість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R10</w:t>
            </w:r>
          </w:p>
        </w:tc>
        <w:tc>
          <w:tcPr>
            <w:tcW w:type="dxa" w:w="1247"/>
          </w:tcPr>
          <w:p>
            <w:pPr>
              <w:jc w:val="left"/>
            </w:pPr>
            <w:r/>
            <w:r>
              <w:rPr>
                <w:rFonts w:ascii="Arial" w:hAnsi="Arial" w:eastAsia="Arial"/>
                <w:b w:val="0"/>
                <w:i w:val="0"/>
                <w:color w:val="000000"/>
                <w:sz w:val="20"/>
              </w:rPr>
              <w:t>P10</w:t>
            </w:r>
          </w:p>
        </w:tc>
        <w:tc>
          <w:tcPr>
            <w:tcW w:type="dxa" w:w="1247"/>
          </w:tcPr>
          <w:p>
            <w:pPr>
              <w:jc w:val="left"/>
            </w:pPr>
            <w:r/>
            <w:r>
              <w:rPr>
                <w:rFonts w:ascii="Arial" w:hAnsi="Arial" w:eastAsia="Arial"/>
                <w:b w:val="0"/>
                <w:i w:val="0"/>
                <w:color w:val="000000"/>
                <w:sz w:val="20"/>
              </w:rPr>
              <w:t>-3</w:t>
            </w:r>
          </w:p>
        </w:tc>
        <w:tc>
          <w:tcPr>
            <w:tcW w:type="dxa" w:w="1247"/>
          </w:tcPr>
          <w:p>
            <w:pPr>
              <w:jc w:val="left"/>
            </w:pPr>
            <w:r/>
            <w:r>
              <w:rPr>
                <w:rFonts w:ascii="Arial" w:hAnsi="Arial" w:eastAsia="Arial"/>
                <w:b w:val="0"/>
                <w:i w:val="0"/>
                <w:color w:val="000000"/>
                <w:sz w:val="20"/>
              </w:rPr>
              <w:t>-1.7</w:t>
            </w:r>
          </w:p>
        </w:tc>
        <w:tc>
          <w:tcPr>
            <w:tcW w:type="dxa" w:w="1247"/>
          </w:tcPr>
          <w:p>
            <w:pPr>
              <w:jc w:val="left"/>
            </w:pPr>
            <w:r/>
            <w:r>
              <w:rPr>
                <w:rFonts w:ascii="Arial" w:hAnsi="Arial" w:eastAsia="Arial"/>
                <w:b w:val="0"/>
                <w:i w:val="0"/>
                <w:color w:val="000000"/>
                <w:sz w:val="20"/>
              </w:rPr>
              <w:t>-0.8</w:t>
            </w:r>
          </w:p>
        </w:tc>
        <w:tc>
          <w:tcPr>
            <w:tcW w:type="dxa" w:w="1247"/>
          </w:tcPr>
          <w:p>
            <w:pPr>
              <w:jc w:val="left"/>
            </w:pPr>
            <w:r/>
            <w:r>
              <w:rPr>
                <w:rFonts w:ascii="Arial" w:hAnsi="Arial" w:eastAsia="Arial"/>
                <w:b w:val="0"/>
                <w:i w:val="0"/>
                <w:color w:val="000000"/>
                <w:sz w:val="20"/>
              </w:rPr>
              <w:t>parameter_adj = parameter + impact points</w:t>
            </w:r>
          </w:p>
        </w:tc>
        <w:tc>
          <w:tcPr>
            <w:tcW w:type="dxa" w:w="1247"/>
          </w:tcPr>
          <w:p>
            <w:pPr>
              <w:jc w:val="left"/>
            </w:pPr>
            <w:r/>
            <w:r>
              <w:rPr>
                <w:rFonts w:ascii="Arial" w:hAnsi="Arial" w:eastAsia="Arial"/>
                <w:b w:val="0"/>
                <w:i w:val="0"/>
                <w:color w:val="000000"/>
                <w:sz w:val="20"/>
              </w:rPr>
              <w:t>зміна використовується тільки як модельна чутливість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R11</w:t>
            </w:r>
          </w:p>
        </w:tc>
        <w:tc>
          <w:tcPr>
            <w:tcW w:type="dxa" w:w="1247"/>
          </w:tcPr>
          <w:p>
            <w:pPr>
              <w:jc w:val="left"/>
            </w:pPr>
            <w:r/>
            <w:r>
              <w:rPr>
                <w:rFonts w:ascii="Arial" w:hAnsi="Arial" w:eastAsia="Arial"/>
                <w:b w:val="0"/>
                <w:i w:val="0"/>
                <w:color w:val="000000"/>
                <w:sz w:val="20"/>
              </w:rPr>
              <w:t>P08</w:t>
            </w:r>
          </w:p>
        </w:tc>
        <w:tc>
          <w:tcPr>
            <w:tcW w:type="dxa" w:w="1247"/>
          </w:tcPr>
          <w:p>
            <w:pPr>
              <w:jc w:val="left"/>
            </w:pPr>
            <w:r/>
            <w:r>
              <w:rPr>
                <w:rFonts w:ascii="Arial" w:hAnsi="Arial" w:eastAsia="Arial"/>
                <w:b w:val="0"/>
                <w:i w:val="0"/>
                <w:color w:val="000000"/>
                <w:sz w:val="20"/>
              </w:rPr>
              <w:t>-18</w:t>
            </w:r>
          </w:p>
        </w:tc>
        <w:tc>
          <w:tcPr>
            <w:tcW w:type="dxa" w:w="1247"/>
          </w:tcPr>
          <w:p>
            <w:pPr>
              <w:jc w:val="left"/>
            </w:pPr>
            <w:r/>
            <w:r>
              <w:rPr>
                <w:rFonts w:ascii="Arial" w:hAnsi="Arial" w:eastAsia="Arial"/>
                <w:b w:val="0"/>
                <w:i w:val="0"/>
                <w:color w:val="000000"/>
                <w:sz w:val="20"/>
              </w:rPr>
              <w:t>-9.9</w:t>
            </w:r>
          </w:p>
        </w:tc>
        <w:tc>
          <w:tcPr>
            <w:tcW w:type="dxa" w:w="1247"/>
          </w:tcPr>
          <w:p>
            <w:pPr>
              <w:jc w:val="left"/>
            </w:pPr>
            <w:r/>
            <w:r>
              <w:rPr>
                <w:rFonts w:ascii="Arial" w:hAnsi="Arial" w:eastAsia="Arial"/>
                <w:b w:val="0"/>
                <w:i w:val="0"/>
                <w:color w:val="000000"/>
                <w:sz w:val="20"/>
              </w:rPr>
              <w:t>-4.5</w:t>
            </w:r>
          </w:p>
        </w:tc>
        <w:tc>
          <w:tcPr>
            <w:tcW w:type="dxa" w:w="1247"/>
          </w:tcPr>
          <w:p>
            <w:pPr>
              <w:jc w:val="left"/>
            </w:pPr>
            <w:r/>
            <w:r>
              <w:rPr>
                <w:rFonts w:ascii="Arial" w:hAnsi="Arial" w:eastAsia="Arial"/>
                <w:b w:val="0"/>
                <w:i w:val="0"/>
                <w:color w:val="000000"/>
                <w:sz w:val="20"/>
              </w:rPr>
              <w:t>parameter_adj = parameter + impact points</w:t>
            </w:r>
          </w:p>
        </w:tc>
        <w:tc>
          <w:tcPr>
            <w:tcW w:type="dxa" w:w="1247"/>
          </w:tcPr>
          <w:p>
            <w:pPr>
              <w:jc w:val="left"/>
            </w:pPr>
            <w:r/>
            <w:r>
              <w:rPr>
                <w:rFonts w:ascii="Arial" w:hAnsi="Arial" w:eastAsia="Arial"/>
                <w:b w:val="0"/>
                <w:i w:val="0"/>
                <w:color w:val="000000"/>
                <w:sz w:val="20"/>
              </w:rPr>
              <w:t>зміна використовується тільки як модельна чутливість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R11</w:t>
            </w:r>
          </w:p>
        </w:tc>
        <w:tc>
          <w:tcPr>
            <w:tcW w:type="dxa" w:w="1247"/>
          </w:tcPr>
          <w:p>
            <w:pPr>
              <w:jc w:val="left"/>
            </w:pPr>
            <w:r/>
            <w:r>
              <w:rPr>
                <w:rFonts w:ascii="Arial" w:hAnsi="Arial" w:eastAsia="Arial"/>
                <w:b w:val="0"/>
                <w:i w:val="0"/>
                <w:color w:val="000000"/>
                <w:sz w:val="20"/>
              </w:rPr>
              <w:t>P09</w:t>
            </w:r>
          </w:p>
        </w:tc>
        <w:tc>
          <w:tcPr>
            <w:tcW w:type="dxa" w:w="1247"/>
          </w:tcPr>
          <w:p>
            <w:pPr>
              <w:jc w:val="left"/>
            </w:pPr>
            <w:r/>
            <w:r>
              <w:rPr>
                <w:rFonts w:ascii="Arial" w:hAnsi="Arial" w:eastAsia="Arial"/>
                <w:b w:val="0"/>
                <w:i w:val="0"/>
                <w:color w:val="000000"/>
                <w:sz w:val="20"/>
              </w:rPr>
              <w:t>-8</w:t>
            </w:r>
          </w:p>
        </w:tc>
        <w:tc>
          <w:tcPr>
            <w:tcW w:type="dxa" w:w="1247"/>
          </w:tcPr>
          <w:p>
            <w:pPr>
              <w:jc w:val="left"/>
            </w:pPr>
            <w:r/>
            <w:r>
              <w:rPr>
                <w:rFonts w:ascii="Arial" w:hAnsi="Arial" w:eastAsia="Arial"/>
                <w:b w:val="0"/>
                <w:i w:val="0"/>
                <w:color w:val="000000"/>
                <w:sz w:val="20"/>
              </w:rPr>
              <w:t>-4.4</w:t>
            </w:r>
          </w:p>
        </w:tc>
        <w:tc>
          <w:tcPr>
            <w:tcW w:type="dxa" w:w="1247"/>
          </w:tcPr>
          <w:p>
            <w:pPr>
              <w:jc w:val="left"/>
            </w:pPr>
            <w:r/>
            <w:r>
              <w:rPr>
                <w:rFonts w:ascii="Arial" w:hAnsi="Arial" w:eastAsia="Arial"/>
                <w:b w:val="0"/>
                <w:i w:val="0"/>
                <w:color w:val="000000"/>
                <w:sz w:val="20"/>
              </w:rPr>
              <w:t>-2.0</w:t>
            </w:r>
          </w:p>
        </w:tc>
        <w:tc>
          <w:tcPr>
            <w:tcW w:type="dxa" w:w="1247"/>
          </w:tcPr>
          <w:p>
            <w:pPr>
              <w:jc w:val="left"/>
            </w:pPr>
            <w:r/>
            <w:r>
              <w:rPr>
                <w:rFonts w:ascii="Arial" w:hAnsi="Arial" w:eastAsia="Arial"/>
                <w:b w:val="0"/>
                <w:i w:val="0"/>
                <w:color w:val="000000"/>
                <w:sz w:val="20"/>
              </w:rPr>
              <w:t>parameter_adj = parameter + impact points</w:t>
            </w:r>
          </w:p>
        </w:tc>
        <w:tc>
          <w:tcPr>
            <w:tcW w:type="dxa" w:w="1247"/>
          </w:tcPr>
          <w:p>
            <w:pPr>
              <w:jc w:val="left"/>
            </w:pPr>
            <w:r/>
            <w:r>
              <w:rPr>
                <w:rFonts w:ascii="Arial" w:hAnsi="Arial" w:eastAsia="Arial"/>
                <w:b w:val="0"/>
                <w:i w:val="0"/>
                <w:color w:val="000000"/>
                <w:sz w:val="20"/>
              </w:rPr>
              <w:t>зміна використовується тільки як модельна чутливість</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R12</w:t>
            </w:r>
          </w:p>
        </w:tc>
        <w:tc>
          <w:tcPr>
            <w:tcW w:type="dxa" w:w="1247"/>
          </w:tcPr>
          <w:p>
            <w:pPr>
              <w:jc w:val="left"/>
            </w:pPr>
            <w:r/>
            <w:r>
              <w:rPr>
                <w:rFonts w:ascii="Arial" w:hAnsi="Arial" w:eastAsia="Arial"/>
                <w:b w:val="0"/>
                <w:i w:val="0"/>
                <w:color w:val="000000"/>
                <w:sz w:val="20"/>
              </w:rPr>
              <w:t>Data UX</w:t>
            </w:r>
          </w:p>
        </w:tc>
        <w:tc>
          <w:tcPr>
            <w:tcW w:type="dxa" w:w="1247"/>
          </w:tcPr>
          <w:p>
            <w:pPr>
              <w:jc w:val="left"/>
            </w:pPr>
            <w:r/>
            <w:r>
              <w:rPr>
                <w:rFonts w:ascii="Arial" w:hAnsi="Arial" w:eastAsia="Arial"/>
                <w:b w:val="0"/>
                <w:i w:val="0"/>
                <w:color w:val="000000"/>
                <w:sz w:val="20"/>
              </w:rPr>
              <w:t>-10</w:t>
            </w:r>
          </w:p>
        </w:tc>
        <w:tc>
          <w:tcPr>
            <w:tcW w:type="dxa" w:w="1247"/>
          </w:tcPr>
          <w:p>
            <w:pPr>
              <w:jc w:val="left"/>
            </w:pPr>
            <w:r/>
            <w:r>
              <w:rPr>
                <w:rFonts w:ascii="Arial" w:hAnsi="Arial" w:eastAsia="Arial"/>
                <w:b w:val="0"/>
                <w:i w:val="0"/>
                <w:color w:val="000000"/>
                <w:sz w:val="20"/>
              </w:rPr>
              <w:t>-5.5</w:t>
            </w:r>
          </w:p>
        </w:tc>
        <w:tc>
          <w:tcPr>
            <w:tcW w:type="dxa" w:w="1247"/>
          </w:tcPr>
          <w:p>
            <w:pPr>
              <w:jc w:val="left"/>
            </w:pPr>
            <w:r/>
            <w:r>
              <w:rPr>
                <w:rFonts w:ascii="Arial" w:hAnsi="Arial" w:eastAsia="Arial"/>
                <w:b w:val="0"/>
                <w:i w:val="0"/>
                <w:color w:val="000000"/>
                <w:sz w:val="20"/>
              </w:rPr>
              <w:t>-2.5</w:t>
            </w:r>
          </w:p>
        </w:tc>
        <w:tc>
          <w:tcPr>
            <w:tcW w:type="dxa" w:w="1247"/>
          </w:tcPr>
          <w:p>
            <w:pPr>
              <w:jc w:val="left"/>
            </w:pPr>
            <w:r/>
            <w:r>
              <w:rPr>
                <w:rFonts w:ascii="Arial" w:hAnsi="Arial" w:eastAsia="Arial"/>
                <w:b w:val="0"/>
                <w:i w:val="0"/>
                <w:color w:val="000000"/>
                <w:sz w:val="20"/>
              </w:rPr>
              <w:t>parameter_adj = parameter + impact points</w:t>
            </w:r>
          </w:p>
        </w:tc>
        <w:tc>
          <w:tcPr>
            <w:tcW w:type="dxa" w:w="1247"/>
          </w:tcPr>
          <w:p>
            <w:pPr>
              <w:jc w:val="left"/>
            </w:pPr>
            <w:r/>
            <w:r>
              <w:rPr>
                <w:rFonts w:ascii="Arial" w:hAnsi="Arial" w:eastAsia="Arial"/>
                <w:b w:val="0"/>
                <w:i w:val="0"/>
                <w:color w:val="000000"/>
                <w:sz w:val="20"/>
              </w:rPr>
              <w:t>зміна використовується тільки як модельна чутливість</w:t>
            </w:r>
          </w:p>
        </w:tc>
        <w:tc>
          <w:tcPr>
            <w:tcW w:type="dxa" w:w="794"/>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1392"/>
        <w:gridCol w:w="1392"/>
        <w:gridCol w:w="1392"/>
        <w:gridCol w:w="1392"/>
        <w:gridCol w:w="1392"/>
        <w:gridCol w:w="1392"/>
        <w:gridCol w:w="1392"/>
      </w:tblGrid>
      <w:tr>
        <w:tc>
          <w:tcPr>
            <w:tcW w:type="dxa" w:w="2041"/>
          </w:tcPr>
          <w:p>
            <w:pPr>
              <w:jc w:val="left"/>
            </w:pPr>
            <w:r/>
            <w:r>
              <w:rPr>
                <w:rFonts w:ascii="Arial" w:hAnsi="Arial" w:eastAsia="Arial"/>
                <w:b/>
                <w:i w:val="0"/>
                <w:color w:val="000000"/>
                <w:sz w:val="20"/>
              </w:rPr>
              <w:t>Об’єкт</w:t>
            </w:r>
          </w:p>
        </w:tc>
        <w:tc>
          <w:tcPr>
            <w:tcW w:type="dxa" w:w="1247"/>
          </w:tcPr>
          <w:p>
            <w:pPr>
              <w:jc w:val="left"/>
            </w:pPr>
            <w:r/>
            <w:r>
              <w:rPr>
                <w:rFonts w:ascii="Arial" w:hAnsi="Arial" w:eastAsia="Arial"/>
                <w:b/>
                <w:i w:val="0"/>
                <w:color w:val="000000"/>
                <w:sz w:val="20"/>
              </w:rPr>
              <w:t>Що перевіряється</w:t>
            </w:r>
          </w:p>
        </w:tc>
        <w:tc>
          <w:tcPr>
            <w:tcW w:type="dxa" w:w="1247"/>
          </w:tcPr>
          <w:p>
            <w:pPr>
              <w:jc w:val="left"/>
            </w:pPr>
            <w:r/>
            <w:r>
              <w:rPr>
                <w:rFonts w:ascii="Arial" w:hAnsi="Arial" w:eastAsia="Arial"/>
                <w:b/>
                <w:i w:val="0"/>
                <w:color w:val="000000"/>
                <w:sz w:val="20"/>
              </w:rPr>
              <w:t>Шкала</w:t>
            </w:r>
          </w:p>
        </w:tc>
        <w:tc>
          <w:tcPr>
            <w:tcW w:type="dxa" w:w="1247"/>
          </w:tcPr>
          <w:p>
            <w:pPr>
              <w:jc w:val="left"/>
            </w:pPr>
            <w:r/>
            <w:r>
              <w:rPr>
                <w:rFonts w:ascii="Arial" w:hAnsi="Arial" w:eastAsia="Arial"/>
                <w:b/>
                <w:i w:val="0"/>
                <w:color w:val="000000"/>
                <w:sz w:val="20"/>
              </w:rPr>
              <w:t>Джерело/правило</w:t>
            </w:r>
          </w:p>
        </w:tc>
        <w:tc>
          <w:tcPr>
            <w:tcW w:type="dxa" w:w="1247"/>
          </w:tcPr>
          <w:p>
            <w:pPr>
              <w:jc w:val="left"/>
            </w:pPr>
            <w:r/>
            <w:r>
              <w:rPr>
                <w:rFonts w:ascii="Arial" w:hAnsi="Arial" w:eastAsia="Arial"/>
                <w:b/>
                <w:i w:val="0"/>
                <w:color w:val="000000"/>
                <w:sz w:val="20"/>
              </w:rPr>
              <w:t>Довіра</w:t>
            </w:r>
          </w:p>
        </w:tc>
        <w:tc>
          <w:tcPr>
            <w:tcW w:type="dxa" w:w="1247"/>
          </w:tcPr>
          <w:p>
            <w:pPr>
              <w:jc w:val="left"/>
            </w:pPr>
            <w:r/>
            <w:r>
              <w:rPr>
                <w:rFonts w:ascii="Arial" w:hAnsi="Arial" w:eastAsia="Arial"/>
                <w:b/>
                <w:i w:val="0"/>
                <w:color w:val="000000"/>
                <w:sz w:val="20"/>
              </w:rPr>
              <w:t>Правило використання</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E2-FRM01</w:t>
            </w:r>
          </w:p>
        </w:tc>
        <w:tc>
          <w:tcPr>
            <w:tcW w:type="dxa" w:w="1247"/>
          </w:tcPr>
          <w:p>
            <w:pPr>
              <w:jc w:val="left"/>
            </w:pPr>
            <w:r/>
            <w:r>
              <w:rPr>
                <w:rFonts w:ascii="Arial" w:hAnsi="Arial" w:eastAsia="Arial"/>
                <w:b w:val="0"/>
                <w:i w:val="0"/>
                <w:color w:val="000000"/>
                <w:sz w:val="20"/>
              </w:rPr>
              <w:t>формула ризику</w:t>
            </w:r>
          </w:p>
        </w:tc>
        <w:tc>
          <w:tcPr>
            <w:tcW w:type="dxa" w:w="1247"/>
          </w:tcPr>
          <w:p>
            <w:pPr>
              <w:jc w:val="left"/>
            </w:pPr>
            <w:r/>
            <w:r>
              <w:rPr>
                <w:rFonts w:ascii="Arial" w:hAnsi="Arial" w:eastAsia="Arial"/>
                <w:b w:val="0"/>
                <w:i w:val="0"/>
                <w:color w:val="000000"/>
                <w:sz w:val="20"/>
              </w:rPr>
              <w:t>0-100</w:t>
            </w:r>
          </w:p>
        </w:tc>
        <w:tc>
          <w:tcPr>
            <w:tcW w:type="dxa" w:w="1247"/>
          </w:tcPr>
          <w:p>
            <w:pPr>
              <w:jc w:val="left"/>
            </w:pPr>
            <w:r/>
            <w:r>
              <w:rPr>
                <w:rFonts w:ascii="Arial" w:hAnsi="Arial" w:eastAsia="Arial"/>
                <w:b w:val="0"/>
                <w:i w:val="0"/>
                <w:color w:val="000000"/>
                <w:sz w:val="20"/>
              </w:rPr>
              <w:t>джерело + proxy + caveat</w:t>
            </w:r>
          </w:p>
        </w:tc>
        <w:tc>
          <w:tcPr>
            <w:tcW w:type="dxa" w:w="1247"/>
          </w:tcPr>
          <w:p>
            <w:pPr>
              <w:jc w:val="left"/>
            </w:pPr>
            <w:r/>
            <w:r>
              <w:rPr>
                <w:rFonts w:ascii="Arial" w:hAnsi="Arial" w:eastAsia="Arial"/>
                <w:b w:val="0"/>
                <w:i w:val="0"/>
                <w:color w:val="000000"/>
                <w:sz w:val="20"/>
              </w:rPr>
              <w:t>висока для структури / середня для чисел</w:t>
            </w:r>
          </w:p>
        </w:tc>
        <w:tc>
          <w:tcPr>
            <w:tcW w:type="dxa" w:w="1247"/>
          </w:tcPr>
          <w:p>
            <w:pPr>
              <w:jc w:val="left"/>
            </w:pPr>
            <w:r/>
            <w:r>
              <w:rPr>
                <w:rFonts w:ascii="Arial" w:hAnsi="Arial" w:eastAsia="Arial"/>
                <w:b w:val="0"/>
                <w:i w:val="0"/>
                <w:color w:val="000000"/>
                <w:sz w:val="20"/>
              </w:rPr>
              <w:t>використовувати для пріоритизації</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E2-FRM08</w:t>
            </w:r>
          </w:p>
        </w:tc>
        <w:tc>
          <w:tcPr>
            <w:tcW w:type="dxa" w:w="1247"/>
          </w:tcPr>
          <w:p>
            <w:pPr>
              <w:jc w:val="left"/>
            </w:pPr>
            <w:r/>
            <w:r>
              <w:rPr>
                <w:rFonts w:ascii="Arial" w:hAnsi="Arial" w:eastAsia="Arial"/>
                <w:b w:val="0"/>
                <w:i w:val="0"/>
                <w:color w:val="000000"/>
                <w:sz w:val="20"/>
              </w:rPr>
              <w:t>агрегований ризик</w:t>
            </w:r>
          </w:p>
        </w:tc>
        <w:tc>
          <w:tcPr>
            <w:tcW w:type="dxa" w:w="1247"/>
          </w:tcPr>
          <w:p>
            <w:pPr>
              <w:jc w:val="left"/>
            </w:pPr>
            <w:r/>
            <w:r>
              <w:rPr>
                <w:rFonts w:ascii="Arial" w:hAnsi="Arial" w:eastAsia="Arial"/>
                <w:b w:val="0"/>
                <w:i w:val="0"/>
                <w:color w:val="000000"/>
                <w:sz w:val="20"/>
              </w:rPr>
              <w:t>0-100</w:t>
            </w:r>
          </w:p>
        </w:tc>
        <w:tc>
          <w:tcPr>
            <w:tcW w:type="dxa" w:w="1247"/>
          </w:tcPr>
          <w:p>
            <w:pPr>
              <w:jc w:val="left"/>
            </w:pPr>
            <w:r/>
            <w:r>
              <w:rPr>
                <w:rFonts w:ascii="Arial" w:hAnsi="Arial" w:eastAsia="Arial"/>
                <w:b w:val="0"/>
                <w:i w:val="0"/>
                <w:color w:val="000000"/>
                <w:sz w:val="20"/>
              </w:rPr>
              <w:t>risk score × weight</w:t>
            </w:r>
          </w:p>
        </w:tc>
        <w:tc>
          <w:tcPr>
            <w:tcW w:type="dxa" w:w="1247"/>
          </w:tcPr>
          <w:p>
            <w:pPr>
              <w:jc w:val="left"/>
            </w:pPr>
            <w:r/>
            <w:r>
              <w:rPr>
                <w:rFonts w:ascii="Arial" w:hAnsi="Arial" w:eastAsia="Arial"/>
                <w:b w:val="0"/>
                <w:i w:val="0"/>
                <w:color w:val="000000"/>
                <w:sz w:val="20"/>
              </w:rPr>
              <w:t>середня</w:t>
            </w:r>
          </w:p>
        </w:tc>
        <w:tc>
          <w:tcPr>
            <w:tcW w:type="dxa" w:w="1247"/>
          </w:tcPr>
          <w:p>
            <w:pPr>
              <w:jc w:val="left"/>
            </w:pPr>
            <w:r/>
            <w:r>
              <w:rPr>
                <w:rFonts w:ascii="Arial" w:hAnsi="Arial" w:eastAsia="Arial"/>
                <w:b w:val="0"/>
                <w:i w:val="0"/>
                <w:color w:val="000000"/>
                <w:sz w:val="20"/>
              </w:rPr>
              <w:t>не порівнювати із зовнішніми рейтингами</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E2-FRM09</w:t>
            </w:r>
          </w:p>
        </w:tc>
        <w:tc>
          <w:tcPr>
            <w:tcW w:type="dxa" w:w="1247"/>
          </w:tcPr>
          <w:p>
            <w:pPr>
              <w:jc w:val="left"/>
            </w:pPr>
            <w:r/>
            <w:r>
              <w:rPr>
                <w:rFonts w:ascii="Arial" w:hAnsi="Arial" w:eastAsia="Arial"/>
                <w:b w:val="0"/>
                <w:i w:val="0"/>
                <w:color w:val="000000"/>
                <w:sz w:val="20"/>
              </w:rPr>
              <w:t>оцінка з поправкою</w:t>
            </w:r>
          </w:p>
        </w:tc>
        <w:tc>
          <w:tcPr>
            <w:tcW w:type="dxa" w:w="1247"/>
          </w:tcPr>
          <w:p>
            <w:pPr>
              <w:jc w:val="left"/>
            </w:pPr>
            <w:r/>
            <w:r>
              <w:rPr>
                <w:rFonts w:ascii="Arial" w:hAnsi="Arial" w:eastAsia="Arial"/>
                <w:b w:val="0"/>
                <w:i w:val="0"/>
                <w:color w:val="000000"/>
                <w:sz w:val="20"/>
              </w:rPr>
              <w:t>0-100</w:t>
            </w:r>
          </w:p>
        </w:tc>
        <w:tc>
          <w:tcPr>
            <w:tcW w:type="dxa" w:w="1247"/>
          </w:tcPr>
          <w:p>
            <w:pPr>
              <w:jc w:val="left"/>
            </w:pPr>
            <w:r/>
            <w:r>
              <w:rPr>
                <w:rFonts w:ascii="Arial" w:hAnsi="Arial" w:eastAsia="Arial"/>
                <w:b w:val="0"/>
                <w:i w:val="0"/>
                <w:color w:val="000000"/>
                <w:sz w:val="20"/>
              </w:rPr>
              <w:t>base score − risk penalty</w:t>
            </w:r>
          </w:p>
        </w:tc>
        <w:tc>
          <w:tcPr>
            <w:tcW w:type="dxa" w:w="1247"/>
          </w:tcPr>
          <w:p>
            <w:pPr>
              <w:jc w:val="left"/>
            </w:pPr>
            <w:r/>
            <w:r>
              <w:rPr>
                <w:rFonts w:ascii="Arial" w:hAnsi="Arial" w:eastAsia="Arial"/>
                <w:b w:val="0"/>
                <w:i w:val="0"/>
                <w:color w:val="000000"/>
                <w:sz w:val="20"/>
              </w:rPr>
              <w:t>середня</w:t>
            </w:r>
          </w:p>
        </w:tc>
        <w:tc>
          <w:tcPr>
            <w:tcW w:type="dxa" w:w="1247"/>
          </w:tcPr>
          <w:p>
            <w:pPr>
              <w:jc w:val="left"/>
            </w:pPr>
            <w:r/>
            <w:r>
              <w:rPr>
                <w:rFonts w:ascii="Arial" w:hAnsi="Arial" w:eastAsia="Arial"/>
                <w:b w:val="0"/>
                <w:i w:val="0"/>
                <w:color w:val="000000"/>
                <w:sz w:val="20"/>
              </w:rPr>
              <w:t>тільки scenario utility</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E2-FRM10</w:t>
            </w:r>
          </w:p>
        </w:tc>
        <w:tc>
          <w:tcPr>
            <w:tcW w:type="dxa" w:w="1247"/>
          </w:tcPr>
          <w:p>
            <w:pPr>
              <w:jc w:val="left"/>
            </w:pPr>
            <w:r/>
            <w:r>
              <w:rPr>
                <w:rFonts w:ascii="Arial" w:hAnsi="Arial" w:eastAsia="Arial"/>
                <w:b w:val="0"/>
                <w:i w:val="0"/>
                <w:color w:val="000000"/>
                <w:sz w:val="20"/>
              </w:rPr>
              <w:t>критичний поріг</w:t>
            </w:r>
          </w:p>
        </w:tc>
        <w:tc>
          <w:tcPr>
            <w:tcW w:type="dxa" w:w="1247"/>
          </w:tcPr>
          <w:p>
            <w:pPr>
              <w:jc w:val="left"/>
            </w:pPr>
            <w:r/>
            <w:r>
              <w:rPr>
                <w:rFonts w:ascii="Arial" w:hAnsi="Arial" w:eastAsia="Arial"/>
                <w:b w:val="0"/>
                <w:i w:val="0"/>
                <w:color w:val="000000"/>
                <w:sz w:val="20"/>
              </w:rPr>
              <w:t>score ≥ 30 або impact/cascade high</w:t>
            </w:r>
          </w:p>
        </w:tc>
        <w:tc>
          <w:tcPr>
            <w:tcW w:type="dxa" w:w="1247"/>
          </w:tcPr>
          <w:p>
            <w:pPr>
              <w:jc w:val="left"/>
            </w:pPr>
            <w:r/>
            <w:r>
              <w:rPr>
                <w:rFonts w:ascii="Arial" w:hAnsi="Arial" w:eastAsia="Arial"/>
                <w:b w:val="0"/>
                <w:i w:val="0"/>
                <w:color w:val="000000"/>
                <w:sz w:val="20"/>
              </w:rPr>
              <w:t>method-derived</w:t>
            </w:r>
          </w:p>
        </w:tc>
        <w:tc>
          <w:tcPr>
            <w:tcW w:type="dxa" w:w="1247"/>
          </w:tcPr>
          <w:p>
            <w:pPr>
              <w:jc w:val="left"/>
            </w:pPr>
            <w:r/>
            <w:r>
              <w:rPr>
                <w:rFonts w:ascii="Arial" w:hAnsi="Arial" w:eastAsia="Arial"/>
                <w:b w:val="0"/>
                <w:i w:val="0"/>
                <w:color w:val="000000"/>
                <w:sz w:val="20"/>
              </w:rPr>
              <w:t>середня</w:t>
            </w:r>
          </w:p>
        </w:tc>
        <w:tc>
          <w:tcPr>
            <w:tcW w:type="dxa" w:w="1247"/>
          </w:tcPr>
          <w:p>
            <w:pPr>
              <w:jc w:val="left"/>
            </w:pPr>
            <w:r/>
            <w:r>
              <w:rPr>
                <w:rFonts w:ascii="Arial" w:hAnsi="Arial" w:eastAsia="Arial"/>
                <w:b w:val="0"/>
                <w:i w:val="0"/>
                <w:color w:val="000000"/>
                <w:sz w:val="20"/>
              </w:rPr>
              <w:t>потребує політичного risk appetite</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E2-FRM11</w:t>
            </w:r>
          </w:p>
        </w:tc>
        <w:tc>
          <w:tcPr>
            <w:tcW w:type="dxa" w:w="1247"/>
          </w:tcPr>
          <w:p>
            <w:pPr>
              <w:jc w:val="left"/>
            </w:pPr>
            <w:r/>
            <w:r>
              <w:rPr>
                <w:rFonts w:ascii="Arial" w:hAnsi="Arial" w:eastAsia="Arial"/>
                <w:b w:val="0"/>
                <w:i w:val="0"/>
                <w:color w:val="000000"/>
                <w:sz w:val="20"/>
              </w:rPr>
              <w:t>ефект запобіжника</w:t>
            </w:r>
          </w:p>
        </w:tc>
        <w:tc>
          <w:tcPr>
            <w:tcW w:type="dxa" w:w="1247"/>
          </w:tcPr>
          <w:p>
            <w:pPr>
              <w:jc w:val="left"/>
            </w:pPr>
            <w:r/>
            <w:r>
              <w:rPr>
                <w:rFonts w:ascii="Arial" w:hAnsi="Arial" w:eastAsia="Arial"/>
                <w:b w:val="0"/>
                <w:i w:val="0"/>
                <w:color w:val="000000"/>
                <w:sz w:val="20"/>
              </w:rPr>
              <w:t>зміна score</w:t>
            </w:r>
          </w:p>
        </w:tc>
        <w:tc>
          <w:tcPr>
            <w:tcW w:type="dxa" w:w="1247"/>
          </w:tcPr>
          <w:p>
            <w:pPr>
              <w:jc w:val="left"/>
            </w:pPr>
            <w:r/>
            <w:r>
              <w:rPr>
                <w:rFonts w:ascii="Arial" w:hAnsi="Arial" w:eastAsia="Arial"/>
                <w:b w:val="0"/>
                <w:i w:val="0"/>
                <w:color w:val="000000"/>
                <w:sz w:val="20"/>
              </w:rPr>
              <w:t>preparedness sensitivity</w:t>
            </w:r>
          </w:p>
        </w:tc>
        <w:tc>
          <w:tcPr>
            <w:tcW w:type="dxa" w:w="1247"/>
          </w:tcPr>
          <w:p>
            <w:pPr>
              <w:jc w:val="left"/>
            </w:pPr>
            <w:r/>
            <w:r>
              <w:rPr>
                <w:rFonts w:ascii="Arial" w:hAnsi="Arial" w:eastAsia="Arial"/>
                <w:b w:val="0"/>
                <w:i w:val="0"/>
                <w:color w:val="000000"/>
                <w:sz w:val="20"/>
              </w:rPr>
              <w:t>середня</w:t>
            </w:r>
          </w:p>
        </w:tc>
        <w:tc>
          <w:tcPr>
            <w:tcW w:type="dxa" w:w="1247"/>
          </w:tcPr>
          <w:p>
            <w:pPr>
              <w:jc w:val="left"/>
            </w:pPr>
            <w:r/>
            <w:r>
              <w:rPr>
                <w:rFonts w:ascii="Arial" w:hAnsi="Arial" w:eastAsia="Arial"/>
                <w:b w:val="0"/>
                <w:i w:val="0"/>
                <w:color w:val="000000"/>
                <w:sz w:val="20"/>
              </w:rPr>
              <w:t>не гарантує фактичний результат</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E2-FRM12</w:t>
            </w:r>
          </w:p>
        </w:tc>
        <w:tc>
          <w:tcPr>
            <w:tcW w:type="dxa" w:w="1247"/>
          </w:tcPr>
          <w:p>
            <w:pPr>
              <w:jc w:val="left"/>
            </w:pPr>
            <w:r/>
            <w:r>
              <w:rPr>
                <w:rFonts w:ascii="Arial" w:hAnsi="Arial" w:eastAsia="Arial"/>
                <w:b w:val="0"/>
                <w:i w:val="0"/>
                <w:color w:val="000000"/>
                <w:sz w:val="20"/>
              </w:rPr>
              <w:t>довіра до score</w:t>
            </w:r>
          </w:p>
        </w:tc>
        <w:tc>
          <w:tcPr>
            <w:tcW w:type="dxa" w:w="1247"/>
          </w:tcPr>
          <w:p>
            <w:pPr>
              <w:jc w:val="left"/>
            </w:pPr>
            <w:r/>
            <w:r>
              <w:rPr>
                <w:rFonts w:ascii="Arial" w:hAnsi="Arial" w:eastAsia="Arial"/>
                <w:b w:val="0"/>
                <w:i w:val="0"/>
                <w:color w:val="000000"/>
                <w:sz w:val="20"/>
              </w:rPr>
              <w:t>низька/середня/висока</w:t>
            </w:r>
          </w:p>
        </w:tc>
        <w:tc>
          <w:tcPr>
            <w:tcW w:type="dxa" w:w="1247"/>
          </w:tcPr>
          <w:p>
            <w:pPr>
              <w:jc w:val="left"/>
            </w:pPr>
            <w:r/>
            <w:r>
              <w:rPr>
                <w:rFonts w:ascii="Arial" w:hAnsi="Arial" w:eastAsia="Arial"/>
                <w:b w:val="0"/>
                <w:i w:val="0"/>
                <w:color w:val="000000"/>
                <w:sz w:val="20"/>
              </w:rPr>
              <w:t>source-readiness і caveat</w:t>
            </w:r>
          </w:p>
        </w:tc>
        <w:tc>
          <w:tcPr>
            <w:tcW w:type="dxa" w:w="1247"/>
          </w:tcPr>
          <w:p>
            <w:pPr>
              <w:jc w:val="left"/>
            </w:pPr>
            <w:r/>
            <w:r>
              <w:rPr>
                <w:rFonts w:ascii="Arial" w:hAnsi="Arial" w:eastAsia="Arial"/>
                <w:b w:val="0"/>
                <w:i w:val="0"/>
                <w:color w:val="000000"/>
                <w:sz w:val="20"/>
              </w:rPr>
              <w:t>висока для audit logic</w:t>
            </w:r>
          </w:p>
        </w:tc>
        <w:tc>
          <w:tcPr>
            <w:tcW w:type="dxa" w:w="1247"/>
          </w:tcPr>
          <w:p>
            <w:pPr>
              <w:jc w:val="left"/>
            </w:pPr>
            <w:r/>
            <w:r>
              <w:rPr>
                <w:rFonts w:ascii="Arial" w:hAnsi="Arial" w:eastAsia="Arial"/>
                <w:b w:val="0"/>
                <w:i w:val="0"/>
                <w:color w:val="000000"/>
                <w:sz w:val="20"/>
              </w:rPr>
              <w:t>низьку довіру не приховувати</w:t>
            </w:r>
          </w:p>
        </w:tc>
        <w:tc>
          <w:tcPr>
            <w:tcW w:type="dxa" w:w="794"/>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1949"/>
        <w:gridCol w:w="1949"/>
        <w:gridCol w:w="1949"/>
        <w:gridCol w:w="1949"/>
        <w:gridCol w:w="1949"/>
      </w:tblGrid>
      <w:tr>
        <w:tc>
          <w:tcPr>
            <w:tcW w:type="dxa" w:w="2041"/>
          </w:tcPr>
          <w:p>
            <w:pPr>
              <w:jc w:val="left"/>
            </w:pPr>
            <w:r/>
            <w:r>
              <w:rPr>
                <w:rFonts w:ascii="Arial" w:hAnsi="Arial" w:eastAsia="Arial"/>
                <w:b/>
                <w:i w:val="0"/>
                <w:color w:val="000000"/>
                <w:sz w:val="20"/>
              </w:rPr>
              <w:t>SourceID</w:t>
            </w:r>
          </w:p>
        </w:tc>
        <w:tc>
          <w:tcPr>
            <w:tcW w:type="dxa" w:w="2081"/>
          </w:tcPr>
          <w:p>
            <w:pPr>
              <w:jc w:val="left"/>
            </w:pPr>
            <w:r/>
            <w:r>
              <w:rPr>
                <w:rFonts w:ascii="Arial" w:hAnsi="Arial" w:eastAsia="Arial"/>
                <w:b/>
                <w:i w:val="0"/>
                <w:color w:val="000000"/>
                <w:sz w:val="20"/>
              </w:rPr>
              <w:t>Назва</w:t>
            </w:r>
          </w:p>
        </w:tc>
        <w:tc>
          <w:tcPr>
            <w:tcW w:type="dxa" w:w="2081"/>
          </w:tcPr>
          <w:p>
            <w:pPr>
              <w:jc w:val="left"/>
            </w:pPr>
            <w:r/>
            <w:r>
              <w:rPr>
                <w:rFonts w:ascii="Arial" w:hAnsi="Arial" w:eastAsia="Arial"/>
                <w:b/>
                <w:i w:val="0"/>
                <w:color w:val="000000"/>
                <w:sz w:val="20"/>
              </w:rPr>
              <w:t>Статус</w:t>
            </w:r>
          </w:p>
        </w:tc>
        <w:tc>
          <w:tcPr>
            <w:tcW w:type="dxa" w:w="2081"/>
          </w:tcPr>
          <w:p>
            <w:pPr>
              <w:jc w:val="left"/>
            </w:pPr>
            <w:r/>
            <w:r>
              <w:rPr>
                <w:rFonts w:ascii="Arial" w:hAnsi="Arial" w:eastAsia="Arial"/>
                <w:b/>
                <w:i w:val="0"/>
                <w:color w:val="000000"/>
                <w:sz w:val="20"/>
              </w:rPr>
              <w:t>Правило використання</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S373</w:t>
            </w:r>
          </w:p>
        </w:tc>
        <w:tc>
          <w:tcPr>
            <w:tcW w:type="dxa" w:w="2081"/>
          </w:tcPr>
          <w:p>
            <w:pPr>
              <w:jc w:val="left"/>
            </w:pPr>
            <w:r/>
            <w:r>
              <w:rPr>
                <w:rFonts w:ascii="Arial" w:hAnsi="Arial" w:eastAsia="Arial"/>
                <w:b w:val="0"/>
                <w:i w:val="0"/>
                <w:color w:val="000000"/>
                <w:sz w:val="20"/>
              </w:rPr>
              <w:t>OECD - Framework on Management of Emerging Critical Risks</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S374</w:t>
            </w:r>
          </w:p>
        </w:tc>
        <w:tc>
          <w:tcPr>
            <w:tcW w:type="dxa" w:w="2081"/>
          </w:tcPr>
          <w:p>
            <w:pPr>
              <w:jc w:val="left"/>
            </w:pPr>
            <w:r/>
            <w:r>
              <w:rPr>
                <w:rFonts w:ascii="Arial" w:hAnsi="Arial" w:eastAsia="Arial"/>
                <w:b w:val="0"/>
                <w:i w:val="0"/>
                <w:color w:val="000000"/>
                <w:sz w:val="20"/>
              </w:rPr>
              <w:t>OECD - Using foresight to anticipate emerging critical risks</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S376</w:t>
            </w:r>
          </w:p>
        </w:tc>
        <w:tc>
          <w:tcPr>
            <w:tcW w:type="dxa" w:w="2081"/>
          </w:tcPr>
          <w:p>
            <w:pPr>
              <w:jc w:val="left"/>
            </w:pPr>
            <w:r/>
            <w:r>
              <w:rPr>
                <w:rFonts w:ascii="Arial" w:hAnsi="Arial" w:eastAsia="Arial"/>
                <w:b w:val="0"/>
                <w:i w:val="0"/>
                <w:color w:val="000000"/>
                <w:sz w:val="20"/>
              </w:rPr>
              <w:t>UNDRR - National Disaster Risk Assessment guide</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S383</w:t>
            </w:r>
          </w:p>
        </w:tc>
        <w:tc>
          <w:tcPr>
            <w:tcW w:type="dxa" w:w="2081"/>
          </w:tcPr>
          <w:p>
            <w:pPr>
              <w:jc w:val="left"/>
            </w:pPr>
            <w:r/>
            <w:r>
              <w:rPr>
                <w:rFonts w:ascii="Arial" w:hAnsi="Arial" w:eastAsia="Arial"/>
                <w:b w:val="0"/>
                <w:i w:val="0"/>
                <w:color w:val="000000"/>
                <w:sz w:val="20"/>
              </w:rPr>
              <w:t>OECD - Recommendation on the Governance of Critical Risks</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S375</w:t>
            </w:r>
          </w:p>
        </w:tc>
        <w:tc>
          <w:tcPr>
            <w:tcW w:type="dxa" w:w="2081"/>
          </w:tcPr>
          <w:p>
            <w:pPr>
              <w:jc w:val="left"/>
            </w:pPr>
            <w:r/>
            <w:r>
              <w:rPr>
                <w:rFonts w:ascii="Arial" w:hAnsi="Arial" w:eastAsia="Arial"/>
                <w:b w:val="0"/>
                <w:i w:val="0"/>
                <w:color w:val="000000"/>
                <w:sz w:val="20"/>
              </w:rPr>
              <w:t>HM Treasury - The Orange Book landing page</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S385</w:t>
            </w:r>
          </w:p>
        </w:tc>
        <w:tc>
          <w:tcPr>
            <w:tcW w:type="dxa" w:w="2081"/>
          </w:tcPr>
          <w:p>
            <w:pPr>
              <w:jc w:val="left"/>
            </w:pPr>
            <w:r/>
            <w:r>
              <w:rPr>
                <w:rFonts w:ascii="Arial" w:hAnsi="Arial" w:eastAsia="Arial"/>
                <w:b w:val="0"/>
                <w:i w:val="0"/>
                <w:color w:val="000000"/>
                <w:sz w:val="20"/>
              </w:rPr>
              <w:t>HM Treasury - The Orange Book PDF</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S386</w:t>
            </w:r>
          </w:p>
        </w:tc>
        <w:tc>
          <w:tcPr>
            <w:tcW w:type="dxa" w:w="2081"/>
          </w:tcPr>
          <w:p>
            <w:pPr>
              <w:jc w:val="left"/>
            </w:pPr>
            <w:r/>
            <w:r>
              <w:rPr>
                <w:rFonts w:ascii="Arial" w:hAnsi="Arial" w:eastAsia="Arial"/>
                <w:b w:val="0"/>
                <w:i w:val="0"/>
                <w:color w:val="000000"/>
                <w:sz w:val="20"/>
              </w:rPr>
              <w:t>COSO - Enterprise Risk Management: Integrating with Strategy a</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S387</w:t>
            </w:r>
          </w:p>
        </w:tc>
        <w:tc>
          <w:tcPr>
            <w:tcW w:type="dxa" w:w="2081"/>
          </w:tcPr>
          <w:p>
            <w:pPr>
              <w:jc w:val="left"/>
            </w:pPr>
            <w:r/>
            <w:r>
              <w:rPr>
                <w:rFonts w:ascii="Arial" w:hAnsi="Arial" w:eastAsia="Arial"/>
                <w:b w:val="0"/>
                <w:i w:val="0"/>
                <w:color w:val="000000"/>
                <w:sz w:val="20"/>
              </w:rPr>
              <w:t>OECD - Managing Emerging Critical Risks</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S388</w:t>
            </w:r>
          </w:p>
        </w:tc>
        <w:tc>
          <w:tcPr>
            <w:tcW w:type="dxa" w:w="2081"/>
          </w:tcPr>
          <w:p>
            <w:pPr>
              <w:jc w:val="left"/>
            </w:pPr>
            <w:r/>
            <w:r>
              <w:rPr>
                <w:rFonts w:ascii="Arial" w:hAnsi="Arial" w:eastAsia="Arial"/>
                <w:b w:val="0"/>
                <w:i w:val="0"/>
                <w:color w:val="000000"/>
                <w:sz w:val="20"/>
              </w:rPr>
              <w:t>National Audit Office - Overcoming challenges to managing risk</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S380</w:t>
            </w:r>
          </w:p>
        </w:tc>
        <w:tc>
          <w:tcPr>
            <w:tcW w:type="dxa" w:w="2081"/>
          </w:tcPr>
          <w:p>
            <w:pPr>
              <w:jc w:val="left"/>
            </w:pPr>
            <w:r/>
            <w:r>
              <w:rPr>
                <w:rFonts w:ascii="Arial" w:hAnsi="Arial" w:eastAsia="Arial"/>
                <w:b w:val="0"/>
                <w:i w:val="0"/>
                <w:color w:val="000000"/>
                <w:sz w:val="20"/>
              </w:rPr>
              <w:t>JRC - Uncertainty and Sensitivity Analysis for policy decision</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S379</w:t>
            </w:r>
          </w:p>
        </w:tc>
        <w:tc>
          <w:tcPr>
            <w:tcW w:type="dxa" w:w="2081"/>
          </w:tcPr>
          <w:p>
            <w:pPr>
              <w:jc w:val="left"/>
            </w:pPr>
            <w:r/>
            <w:r>
              <w:rPr>
                <w:rFonts w:ascii="Arial" w:hAnsi="Arial" w:eastAsia="Arial"/>
                <w:b w:val="0"/>
                <w:i w:val="0"/>
                <w:color w:val="000000"/>
                <w:sz w:val="20"/>
              </w:rPr>
              <w:t>European Commission - Better regulation guidelines and toolbox</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S377</w:t>
            </w:r>
          </w:p>
        </w:tc>
        <w:tc>
          <w:tcPr>
            <w:tcW w:type="dxa" w:w="2081"/>
          </w:tcPr>
          <w:p>
            <w:pPr>
              <w:jc w:val="left"/>
            </w:pPr>
            <w:r/>
            <w:r>
              <w:rPr>
                <w:rFonts w:ascii="Arial" w:hAnsi="Arial" w:eastAsia="Arial"/>
                <w:b w:val="0"/>
                <w:i w:val="0"/>
                <w:color w:val="000000"/>
                <w:sz w:val="20"/>
              </w:rPr>
              <w:t>IMF - Financial Programming and Policies</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Ukraine Fifth Rapid</w:t>
            </w:r>
          </w:p>
        </w:tc>
        <w:tc>
          <w:tcPr>
            <w:tcW w:type="dxa" w:w="2081"/>
          </w:tcPr>
          <w:p>
            <w:pPr>
              <w:jc w:val="left"/>
            </w:pPr>
            <w:r/>
            <w:r>
              <w:rPr>
                <w:rFonts w:ascii="Arial" w:hAnsi="Arial" w:eastAsia="Arial"/>
                <w:b w:val="0"/>
                <w:i w:val="0"/>
                <w:color w:val="000000"/>
                <w:sz w:val="20"/>
              </w:rPr>
              <w:t>World Bank; United Nations; European Commission - Ukraine Fift</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IEA</w:t>
            </w:r>
          </w:p>
        </w:tc>
        <w:tc>
          <w:tcPr>
            <w:tcW w:type="dxa" w:w="2081"/>
          </w:tcPr>
          <w:p>
            <w:pPr>
              <w:jc w:val="left"/>
            </w:pPr>
            <w:r/>
            <w:r>
              <w:rPr>
                <w:rFonts w:ascii="Arial" w:hAnsi="Arial" w:eastAsia="Arial"/>
                <w:b w:val="0"/>
                <w:i w:val="0"/>
                <w:color w:val="000000"/>
                <w:sz w:val="20"/>
              </w:rPr>
              <w:t>IEA - Ukraine’s energy security and the coming winter</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GMK Center</w:t>
            </w:r>
          </w:p>
        </w:tc>
        <w:tc>
          <w:tcPr>
            <w:tcW w:type="dxa" w:w="2081"/>
          </w:tcPr>
          <w:p>
            <w:pPr>
              <w:jc w:val="left"/>
            </w:pPr>
            <w:r/>
            <w:r>
              <w:rPr>
                <w:rFonts w:ascii="Arial" w:hAnsi="Arial" w:eastAsia="Arial"/>
                <w:b w:val="0"/>
                <w:i w:val="0"/>
                <w:color w:val="000000"/>
                <w:sz w:val="20"/>
              </w:rPr>
              <w:t>GMK Center - Electricity and gas prices in Ukraine for industr</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S391</w:t>
            </w:r>
          </w:p>
        </w:tc>
        <w:tc>
          <w:tcPr>
            <w:tcW w:type="dxa" w:w="2081"/>
          </w:tcPr>
          <w:p>
            <w:pPr>
              <w:jc w:val="left"/>
            </w:pPr>
            <w:r/>
            <w:r>
              <w:rPr>
                <w:rFonts w:ascii="Arial" w:hAnsi="Arial" w:eastAsia="Arial"/>
                <w:b w:val="0"/>
                <w:i w:val="0"/>
                <w:color w:val="000000"/>
                <w:sz w:val="20"/>
              </w:rPr>
              <w:t>World Bank - Donor Financing Mechanisms for Supporting Ukraine</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S392</w:t>
            </w:r>
          </w:p>
        </w:tc>
        <w:tc>
          <w:tcPr>
            <w:tcW w:type="dxa" w:w="2081"/>
          </w:tcPr>
          <w:p>
            <w:pPr>
              <w:jc w:val="left"/>
            </w:pPr>
            <w:r/>
            <w:r>
              <w:rPr>
                <w:rFonts w:ascii="Arial" w:hAnsi="Arial" w:eastAsia="Arial"/>
                <w:b w:val="0"/>
                <w:i w:val="0"/>
                <w:color w:val="000000"/>
                <w:sz w:val="20"/>
              </w:rPr>
              <w:t>Ministry of Finance of Ukraine - Ukraine Donor Platform commun</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S393</w:t>
            </w:r>
          </w:p>
        </w:tc>
        <w:tc>
          <w:tcPr>
            <w:tcW w:type="dxa" w:w="2081"/>
          </w:tcPr>
          <w:p>
            <w:pPr>
              <w:jc w:val="left"/>
            </w:pPr>
            <w:r/>
            <w:r>
              <w:rPr>
                <w:rFonts w:ascii="Arial" w:hAnsi="Arial" w:eastAsia="Arial"/>
                <w:b w:val="0"/>
                <w:i w:val="0"/>
                <w:color w:val="000000"/>
                <w:sz w:val="20"/>
              </w:rPr>
              <w:t>EBRD - First Ukrainian companies take advantage of new war ris</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S397</w:t>
            </w:r>
          </w:p>
        </w:tc>
        <w:tc>
          <w:tcPr>
            <w:tcW w:type="dxa" w:w="2081"/>
          </w:tcPr>
          <w:p>
            <w:pPr>
              <w:jc w:val="left"/>
            </w:pPr>
            <w:r/>
            <w:r>
              <w:rPr>
                <w:rFonts w:ascii="Arial" w:hAnsi="Arial" w:eastAsia="Arial"/>
                <w:b w:val="0"/>
                <w:i w:val="0"/>
                <w:color w:val="000000"/>
                <w:sz w:val="20"/>
              </w:rPr>
              <w:t>MIGA - MIGA Expands Insurance Support to Ukraine</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S398</w:t>
            </w:r>
          </w:p>
        </w:tc>
        <w:tc>
          <w:tcPr>
            <w:tcW w:type="dxa" w:w="2081"/>
          </w:tcPr>
          <w:p>
            <w:pPr>
              <w:jc w:val="left"/>
            </w:pPr>
            <w:r/>
            <w:r>
              <w:rPr>
                <w:rFonts w:ascii="Arial" w:hAnsi="Arial" w:eastAsia="Arial"/>
                <w:b w:val="0"/>
                <w:i w:val="0"/>
                <w:color w:val="000000"/>
                <w:sz w:val="20"/>
              </w:rPr>
              <w:t>IFC - IFC in Ukraine</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S394</w:t>
            </w:r>
          </w:p>
        </w:tc>
        <w:tc>
          <w:tcPr>
            <w:tcW w:type="dxa" w:w="2081"/>
          </w:tcPr>
          <w:p>
            <w:pPr>
              <w:jc w:val="left"/>
            </w:pPr>
            <w:r/>
            <w:r>
              <w:rPr>
                <w:rFonts w:ascii="Arial" w:hAnsi="Arial" w:eastAsia="Arial"/>
                <w:b w:val="0"/>
                <w:i w:val="0"/>
                <w:color w:val="000000"/>
                <w:sz w:val="20"/>
              </w:rPr>
              <w:t>National Bank of Ukraine - Financial Stability Report, June 20</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S395</w:t>
            </w:r>
          </w:p>
        </w:tc>
        <w:tc>
          <w:tcPr>
            <w:tcW w:type="dxa" w:w="2081"/>
          </w:tcPr>
          <w:p>
            <w:pPr>
              <w:jc w:val="left"/>
            </w:pPr>
            <w:r/>
            <w:r>
              <w:rPr>
                <w:rFonts w:ascii="Arial" w:hAnsi="Arial" w:eastAsia="Arial"/>
                <w:b w:val="0"/>
                <w:i w:val="0"/>
                <w:color w:val="000000"/>
                <w:sz w:val="20"/>
              </w:rPr>
              <w:t>OECD - Economic Surveys: Ukraine 2025 - Raising investment and</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OECD</w:t>
            </w:r>
          </w:p>
        </w:tc>
        <w:tc>
          <w:tcPr>
            <w:tcW w:type="dxa" w:w="2081"/>
          </w:tcPr>
          <w:p>
            <w:pPr>
              <w:jc w:val="left"/>
            </w:pPr>
            <w:r/>
            <w:r>
              <w:rPr>
                <w:rFonts w:ascii="Arial" w:hAnsi="Arial" w:eastAsia="Arial"/>
                <w:b w:val="0"/>
                <w:i w:val="0"/>
                <w:color w:val="000000"/>
                <w:sz w:val="20"/>
              </w:rPr>
              <w:t>OECD - Ukraine Economic Snapshot</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NBU</w:t>
            </w:r>
          </w:p>
        </w:tc>
        <w:tc>
          <w:tcPr>
            <w:tcW w:type="dxa" w:w="2081"/>
          </w:tcPr>
          <w:p>
            <w:pPr>
              <w:jc w:val="left"/>
            </w:pPr>
            <w:r/>
            <w:r>
              <w:rPr>
                <w:rFonts w:ascii="Arial" w:hAnsi="Arial" w:eastAsia="Arial"/>
                <w:b w:val="0"/>
                <w:i w:val="0"/>
                <w:color w:val="000000"/>
                <w:sz w:val="20"/>
              </w:rPr>
              <w:t>National Bank of Ukraine - Inflation Report, April 2026</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Logistics in Ukraine</w:t>
            </w:r>
          </w:p>
        </w:tc>
        <w:tc>
          <w:tcPr>
            <w:tcW w:type="dxa" w:w="2081"/>
          </w:tcPr>
          <w:p>
            <w:pPr>
              <w:jc w:val="left"/>
            </w:pPr>
            <w:r/>
            <w:r>
              <w:rPr>
                <w:rFonts w:ascii="Arial" w:hAnsi="Arial" w:eastAsia="Arial"/>
                <w:b w:val="0"/>
                <w:i w:val="0"/>
                <w:color w:val="000000"/>
                <w:sz w:val="20"/>
              </w:rPr>
              <w:t>NV.ua - Logistics in Ukraine During the War: Infrastructure Lo</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Impact of War</w:t>
            </w:r>
          </w:p>
        </w:tc>
        <w:tc>
          <w:tcPr>
            <w:tcW w:type="dxa" w:w="2081"/>
          </w:tcPr>
          <w:p>
            <w:pPr>
              <w:jc w:val="left"/>
            </w:pPr>
            <w:r/>
            <w:r>
              <w:rPr>
                <w:rFonts w:ascii="Arial" w:hAnsi="Arial" w:eastAsia="Arial"/>
                <w:b w:val="0"/>
                <w:i w:val="0"/>
                <w:color w:val="000000"/>
                <w:sz w:val="20"/>
              </w:rPr>
              <w:t>State University of Trade and Economics / DUT Journal - Impact</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Rebuilding Ukraine: Investment</w:t>
            </w:r>
          </w:p>
        </w:tc>
        <w:tc>
          <w:tcPr>
            <w:tcW w:type="dxa" w:w="2081"/>
          </w:tcPr>
          <w:p>
            <w:pPr>
              <w:jc w:val="left"/>
            </w:pPr>
            <w:r/>
            <w:r>
              <w:rPr>
                <w:rFonts w:ascii="Arial" w:hAnsi="Arial" w:eastAsia="Arial"/>
                <w:b w:val="0"/>
                <w:i w:val="0"/>
                <w:color w:val="000000"/>
                <w:sz w:val="20"/>
              </w:rPr>
              <w:t>IFC - Rebuilding Ukraine: Investment Opportunities in Construc</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Ukraine’s Reconstruction: Policy</w:t>
            </w:r>
          </w:p>
        </w:tc>
        <w:tc>
          <w:tcPr>
            <w:tcW w:type="dxa" w:w="2081"/>
          </w:tcPr>
          <w:p>
            <w:pPr>
              <w:jc w:val="left"/>
            </w:pPr>
            <w:r/>
            <w:r>
              <w:rPr>
                <w:rFonts w:ascii="Arial" w:hAnsi="Arial" w:eastAsia="Arial"/>
                <w:b w:val="0"/>
                <w:i w:val="0"/>
                <w:color w:val="000000"/>
                <w:sz w:val="20"/>
              </w:rPr>
              <w:t>CEPR - Ukraine’s Reconstruction: Policy Options for Building a</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European Commission</w:t>
            </w:r>
          </w:p>
        </w:tc>
        <w:tc>
          <w:tcPr>
            <w:tcW w:type="dxa" w:w="2081"/>
          </w:tcPr>
          <w:p>
            <w:pPr>
              <w:jc w:val="left"/>
            </w:pPr>
            <w:r/>
            <w:r>
              <w:rPr>
                <w:rFonts w:ascii="Arial" w:hAnsi="Arial" w:eastAsia="Arial"/>
                <w:b w:val="0"/>
                <w:i w:val="0"/>
                <w:color w:val="000000"/>
                <w:sz w:val="20"/>
              </w:rPr>
              <w:t>European Commission / DG TAXUD - Carbon Border Adjustment Mech</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worldsteel</w:t>
            </w:r>
          </w:p>
        </w:tc>
        <w:tc>
          <w:tcPr>
            <w:tcW w:type="dxa" w:w="2081"/>
          </w:tcPr>
          <w:p>
            <w:pPr>
              <w:jc w:val="left"/>
            </w:pPr>
            <w:r/>
            <w:r>
              <w:rPr>
                <w:rFonts w:ascii="Arial" w:hAnsi="Arial" w:eastAsia="Arial"/>
                <w:b w:val="0"/>
                <w:i w:val="0"/>
                <w:color w:val="000000"/>
                <w:sz w:val="20"/>
              </w:rPr>
              <w:t>World Steel Association - Short Range Outlook April 2026</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OECD‑FAO</w:t>
            </w:r>
          </w:p>
        </w:tc>
        <w:tc>
          <w:tcPr>
            <w:tcW w:type="dxa" w:w="2081"/>
          </w:tcPr>
          <w:p>
            <w:pPr>
              <w:jc w:val="left"/>
            </w:pPr>
            <w:r/>
            <w:r>
              <w:rPr>
                <w:rFonts w:ascii="Arial" w:hAnsi="Arial" w:eastAsia="Arial"/>
                <w:b w:val="0"/>
                <w:i w:val="0"/>
                <w:color w:val="000000"/>
                <w:sz w:val="20"/>
              </w:rPr>
              <w:t>OECD / FAO - Agricultural Outlook 2025-2034</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S399</w:t>
            </w:r>
          </w:p>
        </w:tc>
        <w:tc>
          <w:tcPr>
            <w:tcW w:type="dxa" w:w="2081"/>
          </w:tcPr>
          <w:p>
            <w:pPr>
              <w:jc w:val="left"/>
            </w:pPr>
            <w:r/>
            <w:r>
              <w:rPr>
                <w:rFonts w:ascii="Arial" w:hAnsi="Arial" w:eastAsia="Arial"/>
                <w:b w:val="0"/>
                <w:i w:val="0"/>
                <w:color w:val="000000"/>
                <w:sz w:val="20"/>
              </w:rPr>
              <w:t>OECD - Good Governance for Critical Infrastructure Resilience</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S400</w:t>
            </w:r>
          </w:p>
        </w:tc>
        <w:tc>
          <w:tcPr>
            <w:tcW w:type="dxa" w:w="2081"/>
          </w:tcPr>
          <w:p>
            <w:pPr>
              <w:jc w:val="left"/>
            </w:pPr>
            <w:r/>
            <w:r>
              <w:rPr>
                <w:rFonts w:ascii="Arial" w:hAnsi="Arial" w:eastAsia="Arial"/>
                <w:b w:val="0"/>
                <w:i w:val="0"/>
                <w:color w:val="000000"/>
                <w:sz w:val="20"/>
              </w:rPr>
              <w:t>UNDRR - Scoping study on compound, cascading and systemic risk</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S401</w:t>
            </w:r>
          </w:p>
        </w:tc>
        <w:tc>
          <w:tcPr>
            <w:tcW w:type="dxa" w:w="2081"/>
          </w:tcPr>
          <w:p>
            <w:pPr>
              <w:jc w:val="left"/>
            </w:pPr>
            <w:r/>
            <w:r>
              <w:rPr>
                <w:rFonts w:ascii="Arial" w:hAnsi="Arial" w:eastAsia="Arial"/>
                <w:b w:val="0"/>
                <w:i w:val="0"/>
                <w:color w:val="000000"/>
                <w:sz w:val="20"/>
              </w:rPr>
              <w:t>World Bank - Resilience and Disaster Management</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S402</w:t>
            </w:r>
          </w:p>
        </w:tc>
        <w:tc>
          <w:tcPr>
            <w:tcW w:type="dxa" w:w="2081"/>
          </w:tcPr>
          <w:p>
            <w:pPr>
              <w:jc w:val="left"/>
            </w:pPr>
            <w:r/>
            <w:r>
              <w:rPr>
                <w:rFonts w:ascii="Arial" w:hAnsi="Arial" w:eastAsia="Arial"/>
                <w:b w:val="0"/>
                <w:i w:val="0"/>
                <w:color w:val="000000"/>
                <w:sz w:val="20"/>
              </w:rPr>
              <w:t>JRC - Critical Entities Resilience</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S403</w:t>
            </w:r>
          </w:p>
        </w:tc>
        <w:tc>
          <w:tcPr>
            <w:tcW w:type="dxa" w:w="2081"/>
          </w:tcPr>
          <w:p>
            <w:pPr>
              <w:jc w:val="left"/>
            </w:pPr>
            <w:r/>
            <w:r>
              <w:rPr>
                <w:rFonts w:ascii="Arial" w:hAnsi="Arial" w:eastAsia="Arial"/>
                <w:b w:val="0"/>
                <w:i w:val="0"/>
                <w:color w:val="000000"/>
                <w:sz w:val="20"/>
              </w:rPr>
              <w:t>World Bank - Economics for Disaster Prevention and Preparednes</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S404</w:t>
            </w:r>
          </w:p>
        </w:tc>
        <w:tc>
          <w:tcPr>
            <w:tcW w:type="dxa" w:w="2081"/>
          </w:tcPr>
          <w:p>
            <w:pPr>
              <w:jc w:val="left"/>
            </w:pPr>
            <w:r/>
            <w:r>
              <w:rPr>
                <w:rFonts w:ascii="Arial" w:hAnsi="Arial" w:eastAsia="Arial"/>
                <w:b w:val="0"/>
                <w:i w:val="0"/>
                <w:color w:val="000000"/>
                <w:sz w:val="20"/>
              </w:rPr>
              <w:t>European Civil Protection Knowledge Network - Disruption to Cr</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S405</w:t>
            </w:r>
          </w:p>
        </w:tc>
        <w:tc>
          <w:tcPr>
            <w:tcW w:type="dxa" w:w="2081"/>
          </w:tcPr>
          <w:p>
            <w:pPr>
              <w:jc w:val="left"/>
            </w:pPr>
            <w:r/>
            <w:r>
              <w:rPr>
                <w:rFonts w:ascii="Arial" w:hAnsi="Arial" w:eastAsia="Arial"/>
                <w:b w:val="0"/>
                <w:i w:val="0"/>
                <w:color w:val="000000"/>
                <w:sz w:val="20"/>
              </w:rPr>
              <w:t>Gerbec - Cross-CI Assessment of Risks and Cascading Effects in</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S378</w:t>
            </w:r>
          </w:p>
        </w:tc>
        <w:tc>
          <w:tcPr>
            <w:tcW w:type="dxa" w:w="2081"/>
          </w:tcPr>
          <w:p>
            <w:pPr>
              <w:jc w:val="left"/>
            </w:pPr>
            <w:r/>
            <w:r>
              <w:rPr>
                <w:rFonts w:ascii="Arial" w:hAnsi="Arial" w:eastAsia="Arial"/>
                <w:b w:val="0"/>
                <w:i w:val="0"/>
                <w:color w:val="000000"/>
                <w:sz w:val="20"/>
              </w:rPr>
              <w:t>NIST - Artificial Intelligence Risk Management Framework 1.0</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S382</w:t>
            </w:r>
          </w:p>
        </w:tc>
        <w:tc>
          <w:tcPr>
            <w:tcW w:type="dxa" w:w="2081"/>
          </w:tcPr>
          <w:p>
            <w:pPr>
              <w:jc w:val="left"/>
            </w:pPr>
            <w:r/>
            <w:r>
              <w:rPr>
                <w:rFonts w:ascii="Arial" w:hAnsi="Arial" w:eastAsia="Arial"/>
                <w:b w:val="0"/>
                <w:i w:val="0"/>
                <w:color w:val="000000"/>
                <w:sz w:val="20"/>
              </w:rPr>
              <w:t>ISO - ISO 31000:2018 Risk management guidelines</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S389</w:t>
            </w:r>
          </w:p>
        </w:tc>
        <w:tc>
          <w:tcPr>
            <w:tcW w:type="dxa" w:w="2081"/>
          </w:tcPr>
          <w:p>
            <w:pPr>
              <w:jc w:val="left"/>
            </w:pPr>
            <w:r/>
            <w:r>
              <w:rPr>
                <w:rFonts w:ascii="Arial" w:hAnsi="Arial" w:eastAsia="Arial"/>
                <w:b w:val="0"/>
                <w:i w:val="0"/>
                <w:color w:val="000000"/>
                <w:sz w:val="20"/>
              </w:rPr>
              <w:t>UNDRR - What is the Sendai Framework?</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S390</w:t>
            </w:r>
          </w:p>
        </w:tc>
        <w:tc>
          <w:tcPr>
            <w:tcW w:type="dxa" w:w="2081"/>
          </w:tcPr>
          <w:p>
            <w:pPr>
              <w:jc w:val="left"/>
            </w:pPr>
            <w:r/>
            <w:r>
              <w:rPr>
                <w:rFonts w:ascii="Arial" w:hAnsi="Arial" w:eastAsia="Arial"/>
                <w:b w:val="0"/>
                <w:i w:val="0"/>
                <w:color w:val="000000"/>
                <w:sz w:val="20"/>
              </w:rPr>
              <w:t>OECD - Draft revised Recommendation on the Governance of Criti</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GMK Center</w:t>
            </w:r>
          </w:p>
        </w:tc>
        <w:tc>
          <w:tcPr>
            <w:tcW w:type="dxa" w:w="2081"/>
          </w:tcPr>
          <w:p>
            <w:pPr>
              <w:jc w:val="left"/>
            </w:pPr>
            <w:r/>
            <w:r>
              <w:rPr>
                <w:rFonts w:ascii="Arial" w:hAnsi="Arial" w:eastAsia="Arial"/>
                <w:b w:val="0"/>
                <w:i w:val="0"/>
                <w:color w:val="000000"/>
                <w:sz w:val="20"/>
              </w:rPr>
              <w:t>GMK Center - Business in a minefield: insurance against missil</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IEA</w:t>
            </w:r>
          </w:p>
        </w:tc>
        <w:tc>
          <w:tcPr>
            <w:tcW w:type="dxa" w:w="2081"/>
          </w:tcPr>
          <w:p>
            <w:pPr>
              <w:jc w:val="left"/>
            </w:pPr>
            <w:r/>
            <w:r>
              <w:rPr>
                <w:rFonts w:ascii="Arial" w:hAnsi="Arial" w:eastAsia="Arial"/>
                <w:b w:val="0"/>
                <w:i w:val="0"/>
                <w:color w:val="000000"/>
                <w:sz w:val="20"/>
              </w:rPr>
              <w:t>International Energy Agency - Electricity 2026</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YC. Market Construction Public</w:t>
            </w:r>
          </w:p>
        </w:tc>
        <w:tc>
          <w:tcPr>
            <w:tcW w:type="dxa" w:w="2081"/>
          </w:tcPr>
          <w:p>
            <w:pPr>
              <w:jc w:val="left"/>
            </w:pPr>
            <w:r/>
            <w:r>
              <w:rPr>
                <w:rFonts w:ascii="Arial" w:hAnsi="Arial" w:eastAsia="Arial"/>
                <w:b w:val="0"/>
                <w:i w:val="0"/>
                <w:color w:val="000000"/>
                <w:sz w:val="20"/>
              </w:rPr>
              <w:t>YouControl Market - Construction public snapshot</w:t>
            </w:r>
          </w:p>
        </w:tc>
        <w:tc>
          <w:tcPr>
            <w:tcW w:type="dxa" w:w="2081"/>
          </w:tcPr>
          <w:p>
            <w:pPr>
              <w:jc w:val="left"/>
            </w:pPr>
            <w:r/>
            <w:r>
              <w:rPr>
                <w:rFonts w:ascii="Arial" w:hAnsi="Arial" w:eastAsia="Arial"/>
                <w:b w:val="0"/>
                <w:i w:val="0"/>
                <w:color w:val="000000"/>
                <w:sz w:val="20"/>
              </w:rPr>
              <w:t>READY</w:t>
            </w:r>
          </w:p>
        </w:tc>
        <w:tc>
          <w:tcPr>
            <w:tcW w:type="dxa" w:w="2081"/>
          </w:tcPr>
          <w:p>
            <w:pPr>
              <w:jc w:val="left"/>
            </w:pPr>
            <w:r/>
            <w:r>
              <w:rPr>
                <w:rFonts w:ascii="Arial" w:hAnsi="Arial" w:eastAsia="Arial"/>
                <w:b w:val="0"/>
                <w:i w:val="0"/>
                <w:color w:val="000000"/>
                <w:sz w:val="20"/>
              </w:rPr>
              <w:t>public claim / method / score input</w:t>
            </w:r>
          </w:p>
        </w:tc>
        <w:tc>
          <w:tcPr>
            <w:tcW w:type="dxa" w:w="794"/>
          </w:tcPr>
          <w:p>
            <w:pPr>
              <w:jc w:val="center"/>
            </w:pPr>
            <w:r/>
            <w:r>
              <w:rPr>
                <w:rFonts w:ascii="Arial" w:hAnsi="Arial" w:eastAsia="Arial"/>
                <w:b w:val="0"/>
                <w:i w:val="0"/>
                <w:color w:val="000000"/>
                <w:sz w:val="20"/>
              </w:rPr>
            </w:r>
          </w:p>
        </w:tc>
      </w:tr>
    </w:tbl>
    <w:tbl>
      <w:tblPr>
        <w:tblStyle w:val="TableGrid"/>
        <w:tblW w:type="auto" w:w="0"/>
        <w:jc w:val="left"/>
        <w:tblLayout w:type="fixed"/>
        <w:tblLook w:firstColumn="1" w:firstRow="1" w:lastColumn="0" w:lastRow="0" w:noHBand="0" w:noVBand="1" w:val="04A0"/>
      </w:tblPr>
      <w:tblGrid>
        <w:gridCol w:w="1392"/>
        <w:gridCol w:w="1392"/>
        <w:gridCol w:w="1392"/>
        <w:gridCol w:w="1392"/>
        <w:gridCol w:w="1392"/>
        <w:gridCol w:w="1392"/>
        <w:gridCol w:w="1392"/>
      </w:tblGrid>
      <w:tr>
        <w:tc>
          <w:tcPr>
            <w:tcW w:type="dxa" w:w="2041"/>
          </w:tcPr>
          <w:p>
            <w:pPr>
              <w:jc w:val="left"/>
            </w:pPr>
            <w:r/>
            <w:r>
              <w:rPr>
                <w:rFonts w:ascii="Arial" w:hAnsi="Arial" w:eastAsia="Arial"/>
                <w:b/>
                <w:i w:val="0"/>
                <w:color w:val="000000"/>
                <w:sz w:val="20"/>
              </w:rPr>
              <w:t>ID</w:t>
            </w:r>
          </w:p>
        </w:tc>
        <w:tc>
          <w:tcPr>
            <w:tcW w:type="dxa" w:w="1247"/>
          </w:tcPr>
          <w:p>
            <w:pPr>
              <w:jc w:val="left"/>
            </w:pPr>
            <w:r/>
            <w:r>
              <w:rPr>
                <w:rFonts w:ascii="Arial" w:hAnsi="Arial" w:eastAsia="Arial"/>
                <w:b/>
                <w:i w:val="0"/>
                <w:color w:val="000000"/>
                <w:sz w:val="20"/>
              </w:rPr>
              <w:t>Питання</w:t>
            </w:r>
          </w:p>
        </w:tc>
        <w:tc>
          <w:tcPr>
            <w:tcW w:type="dxa" w:w="1247"/>
          </w:tcPr>
          <w:p>
            <w:pPr>
              <w:jc w:val="left"/>
            </w:pPr>
            <w:r/>
            <w:r>
              <w:rPr>
                <w:rFonts w:ascii="Arial" w:hAnsi="Arial" w:eastAsia="Arial"/>
                <w:b/>
                <w:i w:val="0"/>
                <w:color w:val="000000"/>
                <w:sz w:val="20"/>
              </w:rPr>
              <w:t>Мета</w:t>
            </w:r>
          </w:p>
        </w:tc>
        <w:tc>
          <w:tcPr>
            <w:tcW w:type="dxa" w:w="1247"/>
          </w:tcPr>
          <w:p>
            <w:pPr>
              <w:jc w:val="left"/>
            </w:pPr>
            <w:r/>
            <w:r>
              <w:rPr>
                <w:rFonts w:ascii="Arial" w:hAnsi="Arial" w:eastAsia="Arial"/>
                <w:b/>
                <w:i w:val="0"/>
                <w:color w:val="000000"/>
                <w:sz w:val="20"/>
              </w:rPr>
              <w:t>Вхідні дані</w:t>
            </w:r>
          </w:p>
        </w:tc>
        <w:tc>
          <w:tcPr>
            <w:tcW w:type="dxa" w:w="1247"/>
          </w:tcPr>
          <w:p>
            <w:pPr>
              <w:jc w:val="left"/>
            </w:pPr>
            <w:r/>
            <w:r>
              <w:rPr>
                <w:rFonts w:ascii="Arial" w:hAnsi="Arial" w:eastAsia="Arial"/>
                <w:b/>
                <w:i w:val="0"/>
                <w:color w:val="000000"/>
                <w:sz w:val="20"/>
              </w:rPr>
              <w:t>Застереження</w:t>
            </w:r>
          </w:p>
        </w:tc>
        <w:tc>
          <w:tcPr>
            <w:tcW w:type="dxa" w:w="1247"/>
          </w:tcPr>
          <w:p>
            <w:pPr>
              <w:jc w:val="left"/>
            </w:pPr>
            <w:r/>
            <w:r>
              <w:rPr>
                <w:rFonts w:ascii="Arial" w:hAnsi="Arial" w:eastAsia="Arial"/>
                <w:b/>
                <w:i w:val="0"/>
                <w:color w:val="000000"/>
                <w:sz w:val="20"/>
              </w:rPr>
              <w:t>Як читати</w:t>
            </w:r>
          </w:p>
        </w:tc>
        <w:tc>
          <w:tcPr>
            <w:tcW w:type="dxa" w:w="794"/>
          </w:tcPr>
          <w:p>
            <w:pPr>
              <w:jc w:val="left"/>
            </w:pPr>
            <w:r/>
            <w:r>
              <w:rPr>
                <w:rFonts w:ascii="Arial" w:hAnsi="Arial" w:eastAsia="Arial"/>
                <w:b/>
                <w:i w:val="0"/>
                <w:color w:val="000000"/>
                <w:sz w:val="20"/>
              </w:rPr>
              <w:t>Опора</w:t>
            </w:r>
          </w:p>
        </w:tc>
      </w:tr>
      <w:tr>
        <w:tc>
          <w:tcPr>
            <w:tcW w:type="dxa" w:w="2041"/>
          </w:tcPr>
          <w:p>
            <w:pPr>
              <w:jc w:val="left"/>
            </w:pPr>
            <w:r/>
            <w:r>
              <w:rPr>
                <w:rFonts w:ascii="Arial" w:hAnsi="Arial" w:eastAsia="Arial"/>
                <w:b w:val="0"/>
                <w:i w:val="0"/>
                <w:color w:val="000000"/>
                <w:sz w:val="20"/>
              </w:rPr>
              <w:t>E2-MD01</w:t>
            </w:r>
          </w:p>
        </w:tc>
        <w:tc>
          <w:tcPr>
            <w:tcW w:type="dxa" w:w="1247"/>
          </w:tcPr>
          <w:p>
            <w:pPr>
              <w:jc w:val="left"/>
            </w:pPr>
            <w:r/>
            <w:r>
              <w:rPr>
                <w:rFonts w:ascii="Arial" w:hAnsi="Arial" w:eastAsia="Arial"/>
                <w:b w:val="0"/>
                <w:i w:val="0"/>
                <w:color w:val="000000"/>
                <w:sz w:val="20"/>
              </w:rPr>
              <w:t>Як читати оцінку ризиків</w:t>
            </w:r>
          </w:p>
        </w:tc>
        <w:tc>
          <w:tcPr>
            <w:tcW w:type="dxa" w:w="1247"/>
          </w:tcPr>
          <w:p>
            <w:pPr>
              <w:jc w:val="left"/>
            </w:pPr>
            <w:r/>
            <w:r>
              <w:rPr>
                <w:rFonts w:ascii="Arial" w:hAnsi="Arial" w:eastAsia="Arial"/>
                <w:b w:val="0"/>
                <w:i w:val="0"/>
                <w:color w:val="000000"/>
                <w:sz w:val="20"/>
              </w:rPr>
              <w:t>перетворити канал ризику на score</w:t>
            </w:r>
          </w:p>
        </w:tc>
        <w:tc>
          <w:tcPr>
            <w:tcW w:type="dxa" w:w="1247"/>
          </w:tcPr>
          <w:p>
            <w:pPr>
              <w:jc w:val="left"/>
            </w:pPr>
            <w:r/>
            <w:r>
              <w:rPr>
                <w:rFonts w:ascii="Arial" w:hAnsi="Arial" w:eastAsia="Arial"/>
                <w:b w:val="0"/>
                <w:i w:val="0"/>
                <w:color w:val="000000"/>
                <w:sz w:val="20"/>
              </w:rPr>
              <w:t>risk family; trigger; score; caveat</w:t>
            </w:r>
          </w:p>
        </w:tc>
        <w:tc>
          <w:tcPr>
            <w:tcW w:type="dxa" w:w="1247"/>
          </w:tcPr>
          <w:p>
            <w:pPr>
              <w:jc w:val="left"/>
            </w:pPr>
            <w:r/>
            <w:r>
              <w:rPr>
                <w:rFonts w:ascii="Arial" w:hAnsi="Arial" w:eastAsia="Arial"/>
                <w:b w:val="0"/>
                <w:i w:val="0"/>
                <w:color w:val="000000"/>
                <w:sz w:val="20"/>
              </w:rPr>
              <w:t>score не є prediction</w:t>
            </w:r>
          </w:p>
        </w:tc>
        <w:tc>
          <w:tcPr>
            <w:tcW w:type="dxa" w:w="1247"/>
          </w:tcPr>
          <w:p>
            <w:pPr>
              <w:jc w:val="left"/>
            </w:pPr>
            <w:r/>
            <w:r>
              <w:rPr>
                <w:rFonts w:ascii="Arial" w:hAnsi="Arial" w:eastAsia="Arial"/>
                <w:b w:val="0"/>
                <w:i w:val="0"/>
                <w:color w:val="000000"/>
                <w:sz w:val="20"/>
              </w:rPr>
              <w:t>читати як пріоритет дій</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E2-MD02</w:t>
            </w:r>
          </w:p>
        </w:tc>
        <w:tc>
          <w:tcPr>
            <w:tcW w:type="dxa" w:w="1247"/>
          </w:tcPr>
          <w:p>
            <w:pPr>
              <w:jc w:val="left"/>
            </w:pPr>
            <w:r/>
            <w:r>
              <w:rPr>
                <w:rFonts w:ascii="Arial" w:hAnsi="Arial" w:eastAsia="Arial"/>
                <w:b w:val="0"/>
                <w:i w:val="0"/>
                <w:color w:val="000000"/>
                <w:sz w:val="20"/>
              </w:rPr>
              <w:t>Як цей блок використовує E1 без повторення таксономії</w:t>
            </w:r>
          </w:p>
        </w:tc>
        <w:tc>
          <w:tcPr>
            <w:tcW w:type="dxa" w:w="1247"/>
          </w:tcPr>
          <w:p>
            <w:pPr>
              <w:jc w:val="left"/>
            </w:pPr>
            <w:r/>
            <w:r>
              <w:rPr>
                <w:rFonts w:ascii="Arial" w:hAnsi="Arial" w:eastAsia="Arial"/>
                <w:b w:val="0"/>
                <w:i w:val="0"/>
                <w:color w:val="000000"/>
                <w:sz w:val="20"/>
              </w:rPr>
              <w:t>взяти risk channel як input</w:t>
            </w:r>
          </w:p>
        </w:tc>
        <w:tc>
          <w:tcPr>
            <w:tcW w:type="dxa" w:w="1247"/>
          </w:tcPr>
          <w:p>
            <w:pPr>
              <w:jc w:val="left"/>
            </w:pPr>
            <w:r/>
            <w:r>
              <w:rPr>
                <w:rFonts w:ascii="Arial" w:hAnsi="Arial" w:eastAsia="Arial"/>
                <w:b w:val="0"/>
                <w:i w:val="0"/>
                <w:color w:val="000000"/>
                <w:sz w:val="20"/>
              </w:rPr>
              <w:t>E1 family; source IDs; affected sections</w:t>
            </w:r>
          </w:p>
        </w:tc>
        <w:tc>
          <w:tcPr>
            <w:tcW w:type="dxa" w:w="1247"/>
          </w:tcPr>
          <w:p>
            <w:pPr>
              <w:jc w:val="left"/>
            </w:pPr>
            <w:r/>
            <w:r>
              <w:rPr>
                <w:rFonts w:ascii="Arial" w:hAnsi="Arial" w:eastAsia="Arial"/>
                <w:b w:val="0"/>
                <w:i w:val="0"/>
                <w:color w:val="000000"/>
                <w:sz w:val="20"/>
              </w:rPr>
              <w:t>цей блок не переказує taxonomy</w:t>
            </w:r>
          </w:p>
        </w:tc>
        <w:tc>
          <w:tcPr>
            <w:tcW w:type="dxa" w:w="1247"/>
          </w:tcPr>
          <w:p>
            <w:pPr>
              <w:jc w:val="left"/>
            </w:pPr>
            <w:r/>
            <w:r>
              <w:rPr>
                <w:rFonts w:ascii="Arial" w:hAnsi="Arial" w:eastAsia="Arial"/>
                <w:b w:val="0"/>
                <w:i w:val="0"/>
                <w:color w:val="000000"/>
                <w:sz w:val="20"/>
              </w:rPr>
              <w:t>taxonomy → scoring</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E2-MD03</w:t>
            </w:r>
          </w:p>
        </w:tc>
        <w:tc>
          <w:tcPr>
            <w:tcW w:type="dxa" w:w="1247"/>
          </w:tcPr>
          <w:p>
            <w:pPr>
              <w:jc w:val="left"/>
            </w:pPr>
            <w:r/>
            <w:r>
              <w:rPr>
                <w:rFonts w:ascii="Arial" w:hAnsi="Arial" w:eastAsia="Arial"/>
                <w:b w:val="0"/>
                <w:i w:val="0"/>
                <w:color w:val="000000"/>
                <w:sz w:val="20"/>
              </w:rPr>
              <w:t>Як формується база 2020-2025</w:t>
            </w:r>
          </w:p>
        </w:tc>
        <w:tc>
          <w:tcPr>
            <w:tcW w:type="dxa" w:w="1247"/>
          </w:tcPr>
          <w:p>
            <w:pPr>
              <w:jc w:val="left"/>
            </w:pPr>
            <w:r/>
            <w:r>
              <w:rPr>
                <w:rFonts w:ascii="Arial" w:hAnsi="Arial" w:eastAsia="Arial"/>
                <w:b w:val="0"/>
                <w:i w:val="0"/>
                <w:color w:val="000000"/>
                <w:sz w:val="20"/>
              </w:rPr>
              <w:t>відділити поточний стан від горизонту 2035</w:t>
            </w:r>
          </w:p>
        </w:tc>
        <w:tc>
          <w:tcPr>
            <w:tcW w:type="dxa" w:w="1247"/>
          </w:tcPr>
          <w:p>
            <w:pPr>
              <w:jc w:val="left"/>
            </w:pPr>
            <w:r/>
            <w:r>
              <w:rPr>
                <w:rFonts w:ascii="Arial" w:hAnsi="Arial" w:eastAsia="Arial"/>
                <w:b w:val="0"/>
                <w:i w:val="0"/>
                <w:color w:val="000000"/>
                <w:sz w:val="20"/>
              </w:rPr>
              <w:t>damage, energy, finance, logistics, labour</w:t>
            </w:r>
          </w:p>
        </w:tc>
        <w:tc>
          <w:tcPr>
            <w:tcW w:type="dxa" w:w="1247"/>
          </w:tcPr>
          <w:p>
            <w:pPr>
              <w:jc w:val="left"/>
            </w:pPr>
            <w:r/>
            <w:r>
              <w:rPr>
                <w:rFonts w:ascii="Arial" w:hAnsi="Arial" w:eastAsia="Arial"/>
                <w:b w:val="0"/>
                <w:i w:val="0"/>
                <w:color w:val="000000"/>
                <w:sz w:val="20"/>
              </w:rPr>
              <w:t>war-data gaps</w:t>
            </w:r>
          </w:p>
        </w:tc>
        <w:tc>
          <w:tcPr>
            <w:tcW w:type="dxa" w:w="1247"/>
          </w:tcPr>
          <w:p>
            <w:pPr>
              <w:jc w:val="left"/>
            </w:pPr>
            <w:r/>
            <w:r>
              <w:rPr>
                <w:rFonts w:ascii="Arial" w:hAnsi="Arial" w:eastAsia="Arial"/>
                <w:b w:val="0"/>
                <w:i w:val="0"/>
                <w:color w:val="000000"/>
                <w:sz w:val="20"/>
              </w:rPr>
              <w:t>proxy allowed only with caveat</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E2-MD04</w:t>
            </w:r>
          </w:p>
        </w:tc>
        <w:tc>
          <w:tcPr>
            <w:tcW w:type="dxa" w:w="1247"/>
          </w:tcPr>
          <w:p>
            <w:pPr>
              <w:jc w:val="left"/>
            </w:pPr>
            <w:r/>
            <w:r>
              <w:rPr>
                <w:rFonts w:ascii="Arial" w:hAnsi="Arial" w:eastAsia="Arial"/>
                <w:b w:val="0"/>
                <w:i w:val="0"/>
                <w:color w:val="000000"/>
                <w:sz w:val="20"/>
              </w:rPr>
              <w:t>Як оцінюється ймовірність</w:t>
            </w:r>
          </w:p>
        </w:tc>
        <w:tc>
          <w:tcPr>
            <w:tcW w:type="dxa" w:w="1247"/>
          </w:tcPr>
          <w:p>
            <w:pPr>
              <w:jc w:val="left"/>
            </w:pPr>
            <w:r/>
            <w:r>
              <w:rPr>
                <w:rFonts w:ascii="Arial" w:hAnsi="Arial" w:eastAsia="Arial"/>
                <w:b w:val="0"/>
                <w:i w:val="0"/>
                <w:color w:val="000000"/>
                <w:sz w:val="20"/>
              </w:rPr>
              <w:t>калібрувати likelihood</w:t>
            </w:r>
          </w:p>
        </w:tc>
        <w:tc>
          <w:tcPr>
            <w:tcW w:type="dxa" w:w="1247"/>
          </w:tcPr>
          <w:p>
            <w:pPr>
              <w:jc w:val="left"/>
            </w:pPr>
            <w:r/>
            <w:r>
              <w:rPr>
                <w:rFonts w:ascii="Arial" w:hAnsi="Arial" w:eastAsia="Arial"/>
                <w:b w:val="0"/>
                <w:i w:val="0"/>
                <w:color w:val="000000"/>
                <w:sz w:val="20"/>
              </w:rPr>
              <w:t>evidence signal; scenario state</w:t>
            </w:r>
          </w:p>
        </w:tc>
        <w:tc>
          <w:tcPr>
            <w:tcW w:type="dxa" w:w="1247"/>
          </w:tcPr>
          <w:p>
            <w:pPr>
              <w:jc w:val="left"/>
            </w:pPr>
            <w:r/>
            <w:r>
              <w:rPr>
                <w:rFonts w:ascii="Arial" w:hAnsi="Arial" w:eastAsia="Arial"/>
                <w:b w:val="0"/>
                <w:i w:val="0"/>
                <w:color w:val="000000"/>
                <w:sz w:val="20"/>
              </w:rPr>
              <w:t>не статистична frequency</w:t>
            </w:r>
          </w:p>
        </w:tc>
        <w:tc>
          <w:tcPr>
            <w:tcW w:type="dxa" w:w="1247"/>
          </w:tcPr>
          <w:p>
            <w:pPr>
              <w:jc w:val="left"/>
            </w:pPr>
            <w:r/>
            <w:r>
              <w:rPr>
                <w:rFonts w:ascii="Arial" w:hAnsi="Arial" w:eastAsia="Arial"/>
                <w:b w:val="0"/>
                <w:i w:val="0"/>
                <w:color w:val="000000"/>
                <w:sz w:val="20"/>
              </w:rPr>
              <w:t>0-1 calibrated scale</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E2-MD05</w:t>
            </w:r>
          </w:p>
        </w:tc>
        <w:tc>
          <w:tcPr>
            <w:tcW w:type="dxa" w:w="1247"/>
          </w:tcPr>
          <w:p>
            <w:pPr>
              <w:jc w:val="left"/>
            </w:pPr>
            <w:r/>
            <w:r>
              <w:rPr>
                <w:rFonts w:ascii="Arial" w:hAnsi="Arial" w:eastAsia="Arial"/>
                <w:b w:val="0"/>
                <w:i w:val="0"/>
                <w:color w:val="000000"/>
                <w:sz w:val="20"/>
              </w:rPr>
              <w:t>Як оцінюється вплив</w:t>
            </w:r>
          </w:p>
        </w:tc>
        <w:tc>
          <w:tcPr>
            <w:tcW w:type="dxa" w:w="1247"/>
          </w:tcPr>
          <w:p>
            <w:pPr>
              <w:jc w:val="left"/>
            </w:pPr>
            <w:r/>
            <w:r>
              <w:rPr>
                <w:rFonts w:ascii="Arial" w:hAnsi="Arial" w:eastAsia="Arial"/>
                <w:b w:val="0"/>
                <w:i w:val="0"/>
                <w:color w:val="000000"/>
                <w:sz w:val="20"/>
              </w:rPr>
              <w:t>показати direct effect</w:t>
            </w:r>
          </w:p>
        </w:tc>
        <w:tc>
          <w:tcPr>
            <w:tcW w:type="dxa" w:w="1247"/>
          </w:tcPr>
          <w:p>
            <w:pPr>
              <w:jc w:val="left"/>
            </w:pPr>
            <w:r/>
            <w:r>
              <w:rPr>
                <w:rFonts w:ascii="Arial" w:hAnsi="Arial" w:eastAsia="Arial"/>
                <w:b w:val="0"/>
                <w:i w:val="0"/>
                <w:color w:val="000000"/>
                <w:sz w:val="20"/>
              </w:rPr>
              <w:t>output, CAPEX, exports, budget</w:t>
            </w:r>
          </w:p>
        </w:tc>
        <w:tc>
          <w:tcPr>
            <w:tcW w:type="dxa" w:w="1247"/>
          </w:tcPr>
          <w:p>
            <w:pPr>
              <w:jc w:val="left"/>
            </w:pPr>
            <w:r/>
            <w:r>
              <w:rPr>
                <w:rFonts w:ascii="Arial" w:hAnsi="Arial" w:eastAsia="Arial"/>
                <w:b w:val="0"/>
                <w:i w:val="0"/>
                <w:color w:val="000000"/>
                <w:sz w:val="20"/>
              </w:rPr>
              <w:t>sector heterogeneity</w:t>
            </w:r>
          </w:p>
        </w:tc>
        <w:tc>
          <w:tcPr>
            <w:tcW w:type="dxa" w:w="1247"/>
          </w:tcPr>
          <w:p>
            <w:pPr>
              <w:jc w:val="left"/>
            </w:pPr>
            <w:r/>
            <w:r>
              <w:rPr>
                <w:rFonts w:ascii="Arial" w:hAnsi="Arial" w:eastAsia="Arial"/>
                <w:b w:val="0"/>
                <w:i w:val="0"/>
                <w:color w:val="000000"/>
                <w:sz w:val="20"/>
              </w:rPr>
              <w:t>1-5 impact scale</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E2-MD06</w:t>
            </w:r>
          </w:p>
        </w:tc>
        <w:tc>
          <w:tcPr>
            <w:tcW w:type="dxa" w:w="1247"/>
          </w:tcPr>
          <w:p>
            <w:pPr>
              <w:jc w:val="left"/>
            </w:pPr>
            <w:r/>
            <w:r>
              <w:rPr>
                <w:rFonts w:ascii="Arial" w:hAnsi="Arial" w:eastAsia="Arial"/>
                <w:b w:val="0"/>
                <w:i w:val="0"/>
                <w:color w:val="000000"/>
                <w:sz w:val="20"/>
              </w:rPr>
              <w:t>Як оцінюється каскадність</w:t>
            </w:r>
          </w:p>
        </w:tc>
        <w:tc>
          <w:tcPr>
            <w:tcW w:type="dxa" w:w="1247"/>
          </w:tcPr>
          <w:p>
            <w:pPr>
              <w:jc w:val="left"/>
            </w:pPr>
            <w:r/>
            <w:r>
              <w:rPr>
                <w:rFonts w:ascii="Arial" w:hAnsi="Arial" w:eastAsia="Arial"/>
                <w:b w:val="0"/>
                <w:i w:val="0"/>
                <w:color w:val="000000"/>
                <w:sz w:val="20"/>
              </w:rPr>
              <w:t>показати interdependency</w:t>
            </w:r>
          </w:p>
        </w:tc>
        <w:tc>
          <w:tcPr>
            <w:tcW w:type="dxa" w:w="1247"/>
          </w:tcPr>
          <w:p>
            <w:pPr>
              <w:jc w:val="left"/>
            </w:pPr>
            <w:r/>
            <w:r>
              <w:rPr>
                <w:rFonts w:ascii="Arial" w:hAnsi="Arial" w:eastAsia="Arial"/>
                <w:b w:val="0"/>
                <w:i w:val="0"/>
                <w:color w:val="000000"/>
                <w:sz w:val="20"/>
              </w:rPr>
              <w:t>trigger; first/second-order effect</w:t>
            </w:r>
          </w:p>
        </w:tc>
        <w:tc>
          <w:tcPr>
            <w:tcW w:type="dxa" w:w="1247"/>
          </w:tcPr>
          <w:p>
            <w:pPr>
              <w:jc w:val="left"/>
            </w:pPr>
            <w:r/>
            <w:r>
              <w:rPr>
                <w:rFonts w:ascii="Arial" w:hAnsi="Arial" w:eastAsia="Arial"/>
                <w:b w:val="0"/>
                <w:i w:val="0"/>
                <w:color w:val="000000"/>
                <w:sz w:val="20"/>
              </w:rPr>
              <w:t>cascade не вигадувати без chain</w:t>
            </w:r>
          </w:p>
        </w:tc>
        <w:tc>
          <w:tcPr>
            <w:tcW w:type="dxa" w:w="1247"/>
          </w:tcPr>
          <w:p>
            <w:pPr>
              <w:jc w:val="left"/>
            </w:pPr>
            <w:r/>
            <w:r>
              <w:rPr>
                <w:rFonts w:ascii="Arial" w:hAnsi="Arial" w:eastAsia="Arial"/>
                <w:b w:val="0"/>
                <w:i w:val="0"/>
                <w:color w:val="000000"/>
                <w:sz w:val="20"/>
              </w:rPr>
              <w:t>1-5 cascade scale</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E2-MD07</w:t>
            </w:r>
          </w:p>
        </w:tc>
        <w:tc>
          <w:tcPr>
            <w:tcW w:type="dxa" w:w="1247"/>
          </w:tcPr>
          <w:p>
            <w:pPr>
              <w:jc w:val="left"/>
            </w:pPr>
            <w:r/>
            <w:r>
              <w:rPr>
                <w:rFonts w:ascii="Arial" w:hAnsi="Arial" w:eastAsia="Arial"/>
                <w:b w:val="0"/>
                <w:i w:val="0"/>
                <w:color w:val="000000"/>
                <w:sz w:val="20"/>
              </w:rPr>
              <w:t>Як оцінюється експозиція</w:t>
            </w:r>
          </w:p>
        </w:tc>
        <w:tc>
          <w:tcPr>
            <w:tcW w:type="dxa" w:w="1247"/>
          </w:tcPr>
          <w:p>
            <w:pPr>
              <w:jc w:val="left"/>
            </w:pPr>
            <w:r/>
            <w:r>
              <w:rPr>
                <w:rFonts w:ascii="Arial" w:hAnsi="Arial" w:eastAsia="Arial"/>
                <w:b w:val="0"/>
                <w:i w:val="0"/>
                <w:color w:val="000000"/>
                <w:sz w:val="20"/>
              </w:rPr>
              <w:t>показати відкритість системи</w:t>
            </w:r>
          </w:p>
        </w:tc>
        <w:tc>
          <w:tcPr>
            <w:tcW w:type="dxa" w:w="1247"/>
          </w:tcPr>
          <w:p>
            <w:pPr>
              <w:jc w:val="left"/>
            </w:pPr>
            <w:r/>
            <w:r>
              <w:rPr>
                <w:rFonts w:ascii="Arial" w:hAnsi="Arial" w:eastAsia="Arial"/>
                <w:b w:val="0"/>
                <w:i w:val="0"/>
                <w:color w:val="000000"/>
                <w:sz w:val="20"/>
              </w:rPr>
              <w:t>affected parameters and sections</w:t>
            </w:r>
          </w:p>
        </w:tc>
        <w:tc>
          <w:tcPr>
            <w:tcW w:type="dxa" w:w="1247"/>
          </w:tcPr>
          <w:p>
            <w:pPr>
              <w:jc w:val="left"/>
            </w:pPr>
            <w:r/>
            <w:r>
              <w:rPr>
                <w:rFonts w:ascii="Arial" w:hAnsi="Arial" w:eastAsia="Arial"/>
                <w:b w:val="0"/>
                <w:i w:val="0"/>
                <w:color w:val="000000"/>
                <w:sz w:val="20"/>
              </w:rPr>
              <w:t>coverage incomplete</w:t>
            </w:r>
          </w:p>
        </w:tc>
        <w:tc>
          <w:tcPr>
            <w:tcW w:type="dxa" w:w="1247"/>
          </w:tcPr>
          <w:p>
            <w:pPr>
              <w:jc w:val="left"/>
            </w:pPr>
            <w:r/>
            <w:r>
              <w:rPr>
                <w:rFonts w:ascii="Arial" w:hAnsi="Arial" w:eastAsia="Arial"/>
                <w:b w:val="0"/>
                <w:i w:val="0"/>
                <w:color w:val="000000"/>
                <w:sz w:val="20"/>
              </w:rPr>
              <w:t>1-5 exposure scale</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E2-MD08</w:t>
            </w:r>
          </w:p>
        </w:tc>
        <w:tc>
          <w:tcPr>
            <w:tcW w:type="dxa" w:w="1247"/>
          </w:tcPr>
          <w:p>
            <w:pPr>
              <w:jc w:val="left"/>
            </w:pPr>
            <w:r/>
            <w:r>
              <w:rPr>
                <w:rFonts w:ascii="Arial" w:hAnsi="Arial" w:eastAsia="Arial"/>
                <w:b w:val="0"/>
                <w:i w:val="0"/>
                <w:color w:val="000000"/>
                <w:sz w:val="20"/>
              </w:rPr>
              <w:t>Як оцінюється розрив готовності</w:t>
            </w:r>
          </w:p>
        </w:tc>
        <w:tc>
          <w:tcPr>
            <w:tcW w:type="dxa" w:w="1247"/>
          </w:tcPr>
          <w:p>
            <w:pPr>
              <w:jc w:val="left"/>
            </w:pPr>
            <w:r/>
            <w:r>
              <w:rPr>
                <w:rFonts w:ascii="Arial" w:hAnsi="Arial" w:eastAsia="Arial"/>
                <w:b w:val="0"/>
                <w:i w:val="0"/>
                <w:color w:val="000000"/>
                <w:sz w:val="20"/>
              </w:rPr>
              <w:t>показати незакриту частину ризику</w:t>
            </w:r>
          </w:p>
        </w:tc>
        <w:tc>
          <w:tcPr>
            <w:tcW w:type="dxa" w:w="1247"/>
          </w:tcPr>
          <w:p>
            <w:pPr>
              <w:jc w:val="left"/>
            </w:pPr>
            <w:r/>
            <w:r>
              <w:rPr>
                <w:rFonts w:ascii="Arial" w:hAnsi="Arial" w:eastAsia="Arial"/>
                <w:b w:val="0"/>
                <w:i w:val="0"/>
                <w:color w:val="000000"/>
                <w:sz w:val="20"/>
              </w:rPr>
              <w:t>preparedness and safeguard evidence</w:t>
            </w:r>
          </w:p>
        </w:tc>
        <w:tc>
          <w:tcPr>
            <w:tcW w:type="dxa" w:w="1247"/>
          </w:tcPr>
          <w:p>
            <w:pPr>
              <w:jc w:val="left"/>
            </w:pPr>
            <w:r/>
            <w:r>
              <w:rPr>
                <w:rFonts w:ascii="Arial" w:hAnsi="Arial" w:eastAsia="Arial"/>
                <w:b w:val="0"/>
                <w:i w:val="0"/>
                <w:color w:val="000000"/>
                <w:sz w:val="20"/>
              </w:rPr>
              <w:t>запобіжник має бути конкретним</w:t>
            </w:r>
          </w:p>
        </w:tc>
        <w:tc>
          <w:tcPr>
            <w:tcW w:type="dxa" w:w="1247"/>
          </w:tcPr>
          <w:p>
            <w:pPr>
              <w:jc w:val="left"/>
            </w:pPr>
            <w:r/>
            <w:r>
              <w:rPr>
                <w:rFonts w:ascii="Arial" w:hAnsi="Arial" w:eastAsia="Arial"/>
                <w:b w:val="0"/>
                <w:i w:val="0"/>
                <w:color w:val="000000"/>
                <w:sz w:val="20"/>
              </w:rPr>
              <w:t>1 − preparedness</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E2-MD09</w:t>
            </w:r>
          </w:p>
        </w:tc>
        <w:tc>
          <w:tcPr>
            <w:tcW w:type="dxa" w:w="1247"/>
          </w:tcPr>
          <w:p>
            <w:pPr>
              <w:jc w:val="left"/>
            </w:pPr>
            <w:r/>
            <w:r>
              <w:rPr>
                <w:rFonts w:ascii="Arial" w:hAnsi="Arial" w:eastAsia="Arial"/>
                <w:b w:val="0"/>
                <w:i w:val="0"/>
                <w:color w:val="000000"/>
                <w:sz w:val="20"/>
              </w:rPr>
              <w:t>Як визначається критичний ризик</w:t>
            </w:r>
          </w:p>
        </w:tc>
        <w:tc>
          <w:tcPr>
            <w:tcW w:type="dxa" w:w="1247"/>
          </w:tcPr>
          <w:p>
            <w:pPr>
              <w:jc w:val="left"/>
            </w:pPr>
            <w:r/>
            <w:r>
              <w:rPr>
                <w:rFonts w:ascii="Arial" w:hAnsi="Arial" w:eastAsia="Arial"/>
                <w:b w:val="0"/>
                <w:i w:val="0"/>
                <w:color w:val="000000"/>
                <w:sz w:val="20"/>
              </w:rPr>
              <w:t>відділити critical від high-probability</w:t>
            </w:r>
          </w:p>
        </w:tc>
        <w:tc>
          <w:tcPr>
            <w:tcW w:type="dxa" w:w="1247"/>
          </w:tcPr>
          <w:p>
            <w:pPr>
              <w:jc w:val="left"/>
            </w:pPr>
            <w:r/>
            <w:r>
              <w:rPr>
                <w:rFonts w:ascii="Arial" w:hAnsi="Arial" w:eastAsia="Arial"/>
                <w:b w:val="0"/>
                <w:i w:val="0"/>
                <w:color w:val="000000"/>
                <w:sz w:val="20"/>
              </w:rPr>
              <w:t>score; impact; cascade</w:t>
            </w:r>
          </w:p>
        </w:tc>
        <w:tc>
          <w:tcPr>
            <w:tcW w:type="dxa" w:w="1247"/>
          </w:tcPr>
          <w:p>
            <w:pPr>
              <w:jc w:val="left"/>
            </w:pPr>
            <w:r/>
            <w:r>
              <w:rPr>
                <w:rFonts w:ascii="Arial" w:hAnsi="Arial" w:eastAsia="Arial"/>
                <w:b w:val="0"/>
                <w:i w:val="0"/>
                <w:color w:val="000000"/>
                <w:sz w:val="20"/>
              </w:rPr>
              <w:t>risk appetite matters</w:t>
            </w:r>
          </w:p>
        </w:tc>
        <w:tc>
          <w:tcPr>
            <w:tcW w:type="dxa" w:w="1247"/>
          </w:tcPr>
          <w:p>
            <w:pPr>
              <w:jc w:val="left"/>
            </w:pPr>
            <w:r/>
            <w:r>
              <w:rPr>
                <w:rFonts w:ascii="Arial" w:hAnsi="Arial" w:eastAsia="Arial"/>
                <w:b w:val="0"/>
                <w:i w:val="0"/>
                <w:color w:val="000000"/>
                <w:sz w:val="20"/>
              </w:rPr>
              <w:t>threshold logic</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E2-MD10</w:t>
            </w:r>
          </w:p>
        </w:tc>
        <w:tc>
          <w:tcPr>
            <w:tcW w:type="dxa" w:w="1247"/>
          </w:tcPr>
          <w:p>
            <w:pPr>
              <w:jc w:val="left"/>
            </w:pPr>
            <w:r/>
            <w:r>
              <w:rPr>
                <w:rFonts w:ascii="Arial" w:hAnsi="Arial" w:eastAsia="Arial"/>
                <w:b w:val="0"/>
                <w:i w:val="0"/>
                <w:color w:val="000000"/>
                <w:sz w:val="20"/>
              </w:rPr>
              <w:t>Як читати каскадні ефекти</w:t>
            </w:r>
          </w:p>
        </w:tc>
        <w:tc>
          <w:tcPr>
            <w:tcW w:type="dxa" w:w="1247"/>
          </w:tcPr>
          <w:p>
            <w:pPr>
              <w:jc w:val="left"/>
            </w:pPr>
            <w:r/>
            <w:r>
              <w:rPr>
                <w:rFonts w:ascii="Arial" w:hAnsi="Arial" w:eastAsia="Arial"/>
                <w:b w:val="0"/>
                <w:i w:val="0"/>
                <w:color w:val="000000"/>
                <w:sz w:val="20"/>
              </w:rPr>
              <w:t>читати chain, not label</w:t>
            </w:r>
          </w:p>
        </w:tc>
        <w:tc>
          <w:tcPr>
            <w:tcW w:type="dxa" w:w="1247"/>
          </w:tcPr>
          <w:p>
            <w:pPr>
              <w:jc w:val="left"/>
            </w:pPr>
            <w:r/>
            <w:r>
              <w:rPr>
                <w:rFonts w:ascii="Arial" w:hAnsi="Arial" w:eastAsia="Arial"/>
                <w:b w:val="0"/>
                <w:i w:val="0"/>
                <w:color w:val="000000"/>
                <w:sz w:val="20"/>
              </w:rPr>
              <w:t>trigger; first/second-order effect; safeguard</w:t>
            </w:r>
          </w:p>
        </w:tc>
        <w:tc>
          <w:tcPr>
            <w:tcW w:type="dxa" w:w="1247"/>
          </w:tcPr>
          <w:p>
            <w:pPr>
              <w:jc w:val="left"/>
            </w:pPr>
            <w:r/>
            <w:r>
              <w:rPr>
                <w:rFonts w:ascii="Arial" w:hAnsi="Arial" w:eastAsia="Arial"/>
                <w:b w:val="0"/>
                <w:i w:val="0"/>
                <w:color w:val="000000"/>
                <w:sz w:val="20"/>
              </w:rPr>
              <w:t>не всі effects quantified</w:t>
            </w:r>
          </w:p>
        </w:tc>
        <w:tc>
          <w:tcPr>
            <w:tcW w:type="dxa" w:w="1247"/>
          </w:tcPr>
          <w:p>
            <w:pPr>
              <w:jc w:val="left"/>
            </w:pPr>
            <w:r/>
            <w:r>
              <w:rPr>
                <w:rFonts w:ascii="Arial" w:hAnsi="Arial" w:eastAsia="Arial"/>
                <w:b w:val="0"/>
                <w:i w:val="0"/>
                <w:color w:val="000000"/>
                <w:sz w:val="20"/>
              </w:rPr>
              <w:t>cascade register</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E2-MD11</w:t>
            </w:r>
          </w:p>
        </w:tc>
        <w:tc>
          <w:tcPr>
            <w:tcW w:type="dxa" w:w="1247"/>
          </w:tcPr>
          <w:p>
            <w:pPr>
              <w:jc w:val="left"/>
            </w:pPr>
            <w:r/>
            <w:r>
              <w:rPr>
                <w:rFonts w:ascii="Arial" w:hAnsi="Arial" w:eastAsia="Arial"/>
                <w:b w:val="0"/>
                <w:i w:val="0"/>
                <w:color w:val="000000"/>
                <w:sz w:val="20"/>
              </w:rPr>
              <w:t>Як працюють порогові індикатори</w:t>
            </w:r>
          </w:p>
        </w:tc>
        <w:tc>
          <w:tcPr>
            <w:tcW w:type="dxa" w:w="1247"/>
          </w:tcPr>
          <w:p>
            <w:pPr>
              <w:jc w:val="left"/>
            </w:pPr>
            <w:r/>
            <w:r>
              <w:rPr>
                <w:rFonts w:ascii="Arial" w:hAnsi="Arial" w:eastAsia="Arial"/>
                <w:b w:val="0"/>
                <w:i w:val="0"/>
                <w:color w:val="000000"/>
                <w:sz w:val="20"/>
              </w:rPr>
              <w:t>перевести signal у дію</w:t>
            </w:r>
          </w:p>
        </w:tc>
        <w:tc>
          <w:tcPr>
            <w:tcW w:type="dxa" w:w="1247"/>
          </w:tcPr>
          <w:p>
            <w:pPr>
              <w:jc w:val="left"/>
            </w:pPr>
            <w:r/>
            <w:r>
              <w:rPr>
                <w:rFonts w:ascii="Arial" w:hAnsi="Arial" w:eastAsia="Arial"/>
                <w:b w:val="0"/>
                <w:i w:val="0"/>
                <w:color w:val="000000"/>
                <w:sz w:val="20"/>
              </w:rPr>
              <w:t>green/amber/red thresholds</w:t>
            </w:r>
          </w:p>
        </w:tc>
        <w:tc>
          <w:tcPr>
            <w:tcW w:type="dxa" w:w="1247"/>
          </w:tcPr>
          <w:p>
            <w:pPr>
              <w:jc w:val="left"/>
            </w:pPr>
            <w:r/>
            <w:r>
              <w:rPr>
                <w:rFonts w:ascii="Arial" w:hAnsi="Arial" w:eastAsia="Arial"/>
                <w:b w:val="0"/>
                <w:i w:val="0"/>
                <w:color w:val="000000"/>
                <w:sz w:val="20"/>
              </w:rPr>
              <w:t>thresholds update needed</w:t>
            </w:r>
          </w:p>
        </w:tc>
        <w:tc>
          <w:tcPr>
            <w:tcW w:type="dxa" w:w="1247"/>
          </w:tcPr>
          <w:p>
            <w:pPr>
              <w:jc w:val="left"/>
            </w:pPr>
            <w:r/>
            <w:r>
              <w:rPr>
                <w:rFonts w:ascii="Arial" w:hAnsi="Arial" w:eastAsia="Arial"/>
                <w:b w:val="0"/>
                <w:i w:val="0"/>
                <w:color w:val="000000"/>
                <w:sz w:val="20"/>
              </w:rPr>
              <w:t>indicator register</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E2-MD12</w:t>
            </w:r>
          </w:p>
        </w:tc>
        <w:tc>
          <w:tcPr>
            <w:tcW w:type="dxa" w:w="1247"/>
          </w:tcPr>
          <w:p>
            <w:pPr>
              <w:jc w:val="left"/>
            </w:pPr>
            <w:r/>
            <w:r>
              <w:rPr>
                <w:rFonts w:ascii="Arial" w:hAnsi="Arial" w:eastAsia="Arial"/>
                <w:b w:val="0"/>
                <w:i w:val="0"/>
                <w:color w:val="000000"/>
                <w:sz w:val="20"/>
              </w:rPr>
              <w:t>Як запобіжники знижують ризик</w:t>
            </w:r>
          </w:p>
        </w:tc>
        <w:tc>
          <w:tcPr>
            <w:tcW w:type="dxa" w:w="1247"/>
          </w:tcPr>
          <w:p>
            <w:pPr>
              <w:jc w:val="left"/>
            </w:pPr>
            <w:r/>
            <w:r>
              <w:rPr>
                <w:rFonts w:ascii="Arial" w:hAnsi="Arial" w:eastAsia="Arial"/>
                <w:b w:val="0"/>
                <w:i w:val="0"/>
                <w:color w:val="000000"/>
                <w:sz w:val="20"/>
              </w:rPr>
              <w:t>показати preparedness effect</w:t>
            </w:r>
          </w:p>
        </w:tc>
        <w:tc>
          <w:tcPr>
            <w:tcW w:type="dxa" w:w="1247"/>
          </w:tcPr>
          <w:p>
            <w:pPr>
              <w:jc w:val="left"/>
            </w:pPr>
            <w:r/>
            <w:r>
              <w:rPr>
                <w:rFonts w:ascii="Arial" w:hAnsi="Arial" w:eastAsia="Arial"/>
                <w:b w:val="0"/>
                <w:i w:val="0"/>
                <w:color w:val="000000"/>
                <w:sz w:val="20"/>
              </w:rPr>
              <w:t>safeguard package; score before/after</w:t>
            </w:r>
          </w:p>
        </w:tc>
        <w:tc>
          <w:tcPr>
            <w:tcW w:type="dxa" w:w="1247"/>
          </w:tcPr>
          <w:p>
            <w:pPr>
              <w:jc w:val="left"/>
            </w:pPr>
            <w:r/>
            <w:r>
              <w:rPr>
                <w:rFonts w:ascii="Arial" w:hAnsi="Arial" w:eastAsia="Arial"/>
                <w:b w:val="0"/>
                <w:i w:val="0"/>
                <w:color w:val="000000"/>
                <w:sz w:val="20"/>
              </w:rPr>
              <w:t>effect is sensitivity</w:t>
            </w:r>
          </w:p>
        </w:tc>
        <w:tc>
          <w:tcPr>
            <w:tcW w:type="dxa" w:w="1247"/>
          </w:tcPr>
          <w:p>
            <w:pPr>
              <w:jc w:val="left"/>
            </w:pPr>
            <w:r/>
            <w:r>
              <w:rPr>
                <w:rFonts w:ascii="Arial" w:hAnsi="Arial" w:eastAsia="Arial"/>
                <w:b w:val="0"/>
                <w:i w:val="0"/>
                <w:color w:val="000000"/>
                <w:sz w:val="20"/>
              </w:rPr>
              <w:t>E2-FRM11</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E2-MD13</w:t>
            </w:r>
          </w:p>
        </w:tc>
        <w:tc>
          <w:tcPr>
            <w:tcW w:type="dxa" w:w="1247"/>
          </w:tcPr>
          <w:p>
            <w:pPr>
              <w:jc w:val="left"/>
            </w:pPr>
            <w:r/>
            <w:r>
              <w:rPr>
                <w:rFonts w:ascii="Arial" w:hAnsi="Arial" w:eastAsia="Arial"/>
                <w:b w:val="0"/>
                <w:i w:val="0"/>
                <w:color w:val="000000"/>
                <w:sz w:val="20"/>
              </w:rPr>
              <w:t>Як працює score audit</w:t>
            </w:r>
          </w:p>
        </w:tc>
        <w:tc>
          <w:tcPr>
            <w:tcW w:type="dxa" w:w="1247"/>
          </w:tcPr>
          <w:p>
            <w:pPr>
              <w:jc w:val="left"/>
            </w:pPr>
            <w:r/>
            <w:r>
              <w:rPr>
                <w:rFonts w:ascii="Arial" w:hAnsi="Arial" w:eastAsia="Arial"/>
                <w:b w:val="0"/>
                <w:i w:val="0"/>
                <w:color w:val="000000"/>
                <w:sz w:val="20"/>
              </w:rPr>
              <w:t>зробити score перевірним</w:t>
            </w:r>
          </w:p>
        </w:tc>
        <w:tc>
          <w:tcPr>
            <w:tcW w:type="dxa" w:w="1247"/>
          </w:tcPr>
          <w:p>
            <w:pPr>
              <w:jc w:val="left"/>
            </w:pPr>
            <w:r/>
            <w:r>
              <w:rPr>
                <w:rFonts w:ascii="Arial" w:hAnsi="Arial" w:eastAsia="Arial"/>
                <w:b w:val="0"/>
                <w:i w:val="0"/>
                <w:color w:val="000000"/>
                <w:sz w:val="20"/>
              </w:rPr>
              <w:t>formula; source; caveat; confidence</w:t>
            </w:r>
          </w:p>
        </w:tc>
        <w:tc>
          <w:tcPr>
            <w:tcW w:type="dxa" w:w="1247"/>
          </w:tcPr>
          <w:p>
            <w:pPr>
              <w:jc w:val="left"/>
            </w:pPr>
            <w:r/>
            <w:r>
              <w:rPr>
                <w:rFonts w:ascii="Arial" w:hAnsi="Arial" w:eastAsia="Arial"/>
                <w:b w:val="0"/>
                <w:i w:val="0"/>
                <w:color w:val="000000"/>
                <w:sz w:val="20"/>
              </w:rPr>
              <w:t>low confidence must be visible</w:t>
            </w:r>
          </w:p>
        </w:tc>
        <w:tc>
          <w:tcPr>
            <w:tcW w:type="dxa" w:w="1247"/>
          </w:tcPr>
          <w:p>
            <w:pPr>
              <w:jc w:val="left"/>
            </w:pPr>
            <w:r/>
            <w:r>
              <w:rPr>
                <w:rFonts w:ascii="Arial" w:hAnsi="Arial" w:eastAsia="Arial"/>
                <w:b w:val="0"/>
                <w:i w:val="0"/>
                <w:color w:val="000000"/>
                <w:sz w:val="20"/>
              </w:rPr>
              <w:t>audit table</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E2-MD14</w:t>
            </w:r>
          </w:p>
        </w:tc>
        <w:tc>
          <w:tcPr>
            <w:tcW w:type="dxa" w:w="1247"/>
          </w:tcPr>
          <w:p>
            <w:pPr>
              <w:jc w:val="left"/>
            </w:pPr>
            <w:r/>
            <w:r>
              <w:rPr>
                <w:rFonts w:ascii="Arial" w:hAnsi="Arial" w:eastAsia="Arial"/>
                <w:b w:val="0"/>
                <w:i w:val="0"/>
                <w:color w:val="000000"/>
                <w:sz w:val="20"/>
              </w:rPr>
              <w:t>Як читати uncertainty and data gaps</w:t>
            </w:r>
          </w:p>
        </w:tc>
        <w:tc>
          <w:tcPr>
            <w:tcW w:type="dxa" w:w="1247"/>
          </w:tcPr>
          <w:p>
            <w:pPr>
              <w:jc w:val="left"/>
            </w:pPr>
            <w:r/>
            <w:r>
              <w:rPr>
                <w:rFonts w:ascii="Arial" w:hAnsi="Arial" w:eastAsia="Arial"/>
                <w:b w:val="0"/>
                <w:i w:val="0"/>
                <w:color w:val="000000"/>
                <w:sz w:val="20"/>
              </w:rPr>
              <w:t>не ховати прогалини</w:t>
            </w:r>
          </w:p>
        </w:tc>
        <w:tc>
          <w:tcPr>
            <w:tcW w:type="dxa" w:w="1247"/>
          </w:tcPr>
          <w:p>
            <w:pPr>
              <w:jc w:val="left"/>
            </w:pPr>
            <w:r/>
            <w:r>
              <w:rPr>
                <w:rFonts w:ascii="Arial" w:hAnsi="Arial" w:eastAsia="Arial"/>
                <w:b w:val="0"/>
                <w:i w:val="0"/>
                <w:color w:val="000000"/>
                <w:sz w:val="20"/>
              </w:rPr>
              <w:t>GAP, proxy, confidence</w:t>
            </w:r>
          </w:p>
        </w:tc>
        <w:tc>
          <w:tcPr>
            <w:tcW w:type="dxa" w:w="1247"/>
          </w:tcPr>
          <w:p>
            <w:pPr>
              <w:jc w:val="left"/>
            </w:pPr>
            <w:r/>
            <w:r>
              <w:rPr>
                <w:rFonts w:ascii="Arial" w:hAnsi="Arial" w:eastAsia="Arial"/>
                <w:b w:val="0"/>
                <w:i w:val="0"/>
                <w:color w:val="000000"/>
                <w:sz w:val="20"/>
              </w:rPr>
              <w:t>gap sources cannot support claims</w:t>
            </w:r>
          </w:p>
        </w:tc>
        <w:tc>
          <w:tcPr>
            <w:tcW w:type="dxa" w:w="1247"/>
          </w:tcPr>
          <w:p>
            <w:pPr>
              <w:jc w:val="left"/>
            </w:pPr>
            <w:r/>
            <w:r>
              <w:rPr>
                <w:rFonts w:ascii="Arial" w:hAnsi="Arial" w:eastAsia="Arial"/>
                <w:b w:val="0"/>
                <w:i w:val="0"/>
                <w:color w:val="000000"/>
                <w:sz w:val="20"/>
              </w:rPr>
              <w:t>source-readiness register</w:t>
            </w:r>
          </w:p>
        </w:tc>
        <w:tc>
          <w:tcPr>
            <w:tcW w:type="dxa" w:w="794"/>
          </w:tcPr>
          <w:p>
            <w:pPr>
              <w:jc w:val="center"/>
            </w:pPr>
            <w:r/>
            <w:r>
              <w:rPr>
                <w:rFonts w:ascii="Arial" w:hAnsi="Arial" w:eastAsia="Arial"/>
                <w:b w:val="0"/>
                <w:i w:val="0"/>
                <w:color w:val="000000"/>
                <w:sz w:val="20"/>
              </w:rPr>
            </w:r>
          </w:p>
        </w:tc>
      </w:tr>
      <w:tr>
        <w:tc>
          <w:tcPr>
            <w:tcW w:type="dxa" w:w="2041"/>
          </w:tcPr>
          <w:p>
            <w:pPr>
              <w:jc w:val="left"/>
            </w:pPr>
            <w:r/>
            <w:r>
              <w:rPr>
                <w:rFonts w:ascii="Arial" w:hAnsi="Arial" w:eastAsia="Arial"/>
                <w:b w:val="0"/>
                <w:i w:val="0"/>
                <w:color w:val="000000"/>
                <w:sz w:val="20"/>
              </w:rPr>
              <w:t>E2-MD15</w:t>
            </w:r>
          </w:p>
        </w:tc>
        <w:tc>
          <w:tcPr>
            <w:tcW w:type="dxa" w:w="1247"/>
          </w:tcPr>
          <w:p>
            <w:pPr>
              <w:jc w:val="left"/>
            </w:pPr>
            <w:r/>
            <w:r>
              <w:rPr>
                <w:rFonts w:ascii="Arial" w:hAnsi="Arial" w:eastAsia="Arial"/>
                <w:b w:val="0"/>
                <w:i w:val="0"/>
                <w:color w:val="000000"/>
                <w:sz w:val="20"/>
              </w:rPr>
              <w:t>Як цей блок передає результат у J1</w:t>
            </w:r>
          </w:p>
        </w:tc>
        <w:tc>
          <w:tcPr>
            <w:tcW w:type="dxa" w:w="1247"/>
          </w:tcPr>
          <w:p>
            <w:pPr>
              <w:jc w:val="left"/>
            </w:pPr>
            <w:r/>
            <w:r>
              <w:rPr>
                <w:rFonts w:ascii="Arial" w:hAnsi="Arial" w:eastAsia="Arial"/>
                <w:b w:val="0"/>
                <w:i w:val="0"/>
                <w:color w:val="000000"/>
                <w:sz w:val="20"/>
              </w:rPr>
              <w:t>передати score, threshold, safeguard</w:t>
            </w:r>
          </w:p>
        </w:tc>
        <w:tc>
          <w:tcPr>
            <w:tcW w:type="dxa" w:w="1247"/>
          </w:tcPr>
          <w:p>
            <w:pPr>
              <w:jc w:val="left"/>
            </w:pPr>
            <w:r/>
            <w:r>
              <w:rPr>
                <w:rFonts w:ascii="Arial" w:hAnsi="Arial" w:eastAsia="Arial"/>
                <w:b w:val="0"/>
                <w:i w:val="0"/>
                <w:color w:val="000000"/>
                <w:sz w:val="20"/>
              </w:rPr>
              <w:t>risk scores; cascade; trigger</w:t>
            </w:r>
          </w:p>
        </w:tc>
        <w:tc>
          <w:tcPr>
            <w:tcW w:type="dxa" w:w="1247"/>
          </w:tcPr>
          <w:p>
            <w:pPr>
              <w:jc w:val="left"/>
            </w:pPr>
            <w:r/>
            <w:r>
              <w:rPr>
                <w:rFonts w:ascii="Arial" w:hAnsi="Arial" w:eastAsia="Arial"/>
                <w:b w:val="0"/>
                <w:i w:val="0"/>
                <w:color w:val="000000"/>
                <w:sz w:val="20"/>
              </w:rPr>
              <w:t>цей блок не пише final scenario</w:t>
            </w:r>
          </w:p>
        </w:tc>
        <w:tc>
          <w:tcPr>
            <w:tcW w:type="dxa" w:w="1247"/>
          </w:tcPr>
          <w:p>
            <w:pPr>
              <w:jc w:val="left"/>
            </w:pPr>
            <w:r/>
            <w:r>
              <w:rPr>
                <w:rFonts w:ascii="Arial" w:hAnsi="Arial" w:eastAsia="Arial"/>
                <w:b w:val="0"/>
                <w:i w:val="0"/>
                <w:color w:val="000000"/>
                <w:sz w:val="20"/>
              </w:rPr>
              <w:t>handoff table</w:t>
            </w:r>
          </w:p>
        </w:tc>
        <w:tc>
          <w:tcPr>
            <w:tcW w:type="dxa" w:w="794"/>
          </w:tcPr>
          <w:p>
            <w:pPr>
              <w:jc w:val="center"/>
            </w:pPr>
            <w:r/>
            <w:r>
              <w:rPr>
                <w:rFonts w:ascii="Arial" w:hAnsi="Arial" w:eastAsia="Arial"/>
                <w:b w:val="0"/>
                <w:i w:val="0"/>
                <w:color w:val="000000"/>
                <w:sz w:val="20"/>
              </w:rPr>
            </w:r>
          </w:p>
        </w:tc>
      </w:tr>
    </w:tbl>
    <w:p>
      <w:pPr>
        <w:pStyle w:val="Heading1"/>
      </w:pPr>
      <w:r>
        <w:rPr>
          <w:rFonts w:ascii="Arial" w:hAnsi="Arial" w:eastAsia="Arial"/>
          <w:b/>
          <w:i w:val="0"/>
          <w:color w:val="000000"/>
          <w:sz w:val="44"/>
        </w:rPr>
        <w:t>Висновок</w:t>
      </w:r>
    </w:p>
    <w:p>
      <w:pPr>
        <w:jc w:val="both"/>
      </w:pPr>
      <w:r>
        <w:rPr>
          <w:rFonts w:ascii="Arial" w:hAnsi="Arial" w:eastAsia="Arial"/>
          <w:b w:val="0"/>
          <w:i w:val="0"/>
          <w:color w:val="000000"/>
          <w:sz w:val="24"/>
        </w:rPr>
        <w:t>Ризик є структурним шаром сценарію: [1] він визначає, чи достатньо енергії для виробничої стелі, чи є страхування і гарантії для приватного CAPEX, чи працює логістика для валютної виручки, чи вистачає кадрів для проєктного execution, чи проходять промислові товари регуляторний доступ до ЄС, чи здатна система джерел підтримувати довіру до публічної моделі.</w:t>
      </w:r>
    </w:p>
    <w:p>
      <w:pPr>
        <w:jc w:val="both"/>
      </w:pPr>
      <w:r>
        <w:rPr>
          <w:rFonts w:ascii="Arial" w:hAnsi="Arial" w:eastAsia="Arial"/>
          <w:b w:val="0"/>
          <w:i w:val="0"/>
          <w:color w:val="000000"/>
          <w:sz w:val="24"/>
        </w:rPr>
        <w:t>Найвищі шокові оцінки мають безпекова ескалація, енергетичний дефіцит, логістичний розрив, затримка зовнішнього фінансування, недостатність страхування та фіскально-борговий тиск. [1]</w:t>
      </w:r>
    </w:p>
    <w:p>
      <w:pPr>
        <w:jc w:val="both"/>
      </w:pPr>
      <w:r>
        <w:rPr>
          <w:rFonts w:ascii="Arial" w:hAnsi="Arial" w:eastAsia="Arial"/>
          <w:b w:val="0"/>
          <w:i w:val="0"/>
          <w:color w:val="000000"/>
          <w:sz w:val="24"/>
        </w:rPr>
        <w:t>Головний практичний результат E2 - прозорість. [1] Кожен score має формулу, шкалу, джерела, caveat та інтерпретацію. Кожний критичний ризик має threshold logic. Кожний каскад має trigger, first-order effect, second-order effect, affected sections and safeguard. Такий документ можна використовувати як публічний score-audit layer для сценарної кімнати, але не як deterministic forecast. Його цінність у тому, що він робить ризик керованим, перевірним і придатним для політичного рішення.</w:t>
      </w:r>
    </w:p>
    <w:p>
      <w:pPr>
        <w:pStyle w:val="Heading1"/>
      </w:pPr>
      <w:r>
        <w:rPr>
          <w:rFonts w:ascii="Arial" w:hAnsi="Arial" w:eastAsia="Arial"/>
          <w:b/>
          <w:i w:val="0"/>
          <w:color w:val="000000"/>
          <w:sz w:val="44"/>
        </w:rPr>
        <w:t>Джерельна навігація для перевірки посилань</w:t>
      </w:r>
    </w:p>
    <w:p>
      <w:pPr>
        <w:jc w:val="both"/>
      </w:pPr>
      <w:r>
        <w:rPr>
          <w:rFonts w:ascii="Arial" w:hAnsi="Arial" w:eastAsia="Arial"/>
          <w:b w:val="0"/>
          <w:i w:val="0"/>
          <w:color w:val="000000"/>
          <w:sz w:val="24"/>
        </w:rPr>
        <w:t>S373 - OECD - Framework on Management of Emerging Critical Risks. [1]</w:t>
      </w:r>
    </w:p>
    <w:p>
      <w:pPr>
        <w:jc w:val="both"/>
      </w:pPr>
      <w:r>
        <w:rPr>
          <w:rFonts w:ascii="Arial" w:hAnsi="Arial" w:eastAsia="Arial"/>
          <w:b w:val="0"/>
          <w:i w:val="0"/>
          <w:color w:val="000000"/>
          <w:sz w:val="24"/>
        </w:rPr>
        <w:t>S374 - OECD - Using foresight to anticipate emerging critical risks. [1]</w:t>
      </w:r>
    </w:p>
    <w:p>
      <w:pPr>
        <w:jc w:val="both"/>
      </w:pPr>
      <w:r>
        <w:rPr>
          <w:rFonts w:ascii="Arial" w:hAnsi="Arial" w:eastAsia="Arial"/>
          <w:b w:val="0"/>
          <w:i w:val="0"/>
          <w:color w:val="000000"/>
          <w:sz w:val="24"/>
        </w:rPr>
        <w:t>S376 - UNDRR - National Disaster Risk Assessment guide. [1]</w:t>
      </w:r>
    </w:p>
    <w:p>
      <w:pPr>
        <w:jc w:val="both"/>
      </w:pPr>
      <w:r>
        <w:rPr>
          <w:rFonts w:ascii="Arial" w:hAnsi="Arial" w:eastAsia="Arial"/>
          <w:b w:val="0"/>
          <w:i w:val="0"/>
          <w:color w:val="000000"/>
          <w:sz w:val="24"/>
        </w:rPr>
        <w:t>S383 - OECD - Recommendation on the Governance of Critical Risks. [1]</w:t>
      </w:r>
    </w:p>
    <w:p>
      <w:pPr>
        <w:jc w:val="both"/>
      </w:pPr>
      <w:r>
        <w:rPr>
          <w:rFonts w:ascii="Arial" w:hAnsi="Arial" w:eastAsia="Arial"/>
          <w:b w:val="0"/>
          <w:i w:val="0"/>
          <w:color w:val="000000"/>
          <w:sz w:val="24"/>
        </w:rPr>
        <w:t>S375 - HM Treasury - The Orange Book landing page. [1]</w:t>
      </w:r>
    </w:p>
    <w:p>
      <w:pPr>
        <w:jc w:val="both"/>
      </w:pPr>
      <w:r>
        <w:rPr>
          <w:rFonts w:ascii="Arial" w:hAnsi="Arial" w:eastAsia="Arial"/>
          <w:b w:val="0"/>
          <w:i w:val="0"/>
          <w:color w:val="000000"/>
          <w:sz w:val="24"/>
        </w:rPr>
        <w:t>S385 - HM Treasury - The Orange Book PDF. [1]</w:t>
      </w:r>
    </w:p>
    <w:p>
      <w:pPr>
        <w:jc w:val="both"/>
      </w:pPr>
      <w:r>
        <w:rPr>
          <w:rFonts w:ascii="Arial" w:hAnsi="Arial" w:eastAsia="Arial"/>
          <w:b w:val="0"/>
          <w:i w:val="0"/>
          <w:color w:val="000000"/>
          <w:sz w:val="24"/>
        </w:rPr>
        <w:t>S386 - COSO - Enterprise Risk Management: [1] Integrating with Strategy and Performance</w:t>
      </w:r>
    </w:p>
    <w:p>
      <w:pPr>
        <w:jc w:val="both"/>
      </w:pPr>
      <w:r>
        <w:rPr>
          <w:rFonts w:ascii="Arial" w:hAnsi="Arial" w:eastAsia="Arial"/>
          <w:b w:val="0"/>
          <w:i w:val="0"/>
          <w:color w:val="000000"/>
          <w:sz w:val="24"/>
        </w:rPr>
        <w:t>S387 - OECD - Managing Emerging Critical Risks. [1]</w:t>
      </w:r>
    </w:p>
    <w:p>
      <w:pPr>
        <w:jc w:val="both"/>
      </w:pPr>
      <w:r>
        <w:rPr>
          <w:rFonts w:ascii="Arial" w:hAnsi="Arial" w:eastAsia="Arial"/>
          <w:b w:val="0"/>
          <w:i w:val="0"/>
          <w:color w:val="000000"/>
          <w:sz w:val="24"/>
        </w:rPr>
        <w:t>S388 - National Audit Office - Overcoming challenges to managing risks in government. [2]</w:t>
      </w:r>
    </w:p>
    <w:p>
      <w:pPr>
        <w:jc w:val="both"/>
      </w:pPr>
      <w:r>
        <w:rPr>
          <w:rFonts w:ascii="Arial" w:hAnsi="Arial" w:eastAsia="Arial"/>
          <w:b w:val="0"/>
          <w:i w:val="0"/>
          <w:color w:val="000000"/>
          <w:sz w:val="24"/>
        </w:rPr>
        <w:t>S380 - JRC - Uncertainty and Sensitivity Analysis for policy decision making. [1]</w:t>
      </w:r>
    </w:p>
    <w:p>
      <w:pPr>
        <w:jc w:val="both"/>
      </w:pPr>
      <w:r>
        <w:rPr>
          <w:rFonts w:ascii="Arial" w:hAnsi="Arial" w:eastAsia="Arial"/>
          <w:b w:val="0"/>
          <w:i w:val="0"/>
          <w:color w:val="000000"/>
          <w:sz w:val="24"/>
        </w:rPr>
        <w:t>S379 - European Commission - Better regulation guidelines and toolbox. [1]</w:t>
      </w:r>
    </w:p>
    <w:p>
      <w:pPr>
        <w:jc w:val="both"/>
      </w:pPr>
      <w:r>
        <w:rPr>
          <w:rFonts w:ascii="Arial" w:hAnsi="Arial" w:eastAsia="Arial"/>
          <w:b w:val="0"/>
          <w:i w:val="0"/>
          <w:color w:val="000000"/>
          <w:sz w:val="24"/>
        </w:rPr>
        <w:t>S377 - IMF - Financial Programming and Policies. [1]</w:t>
      </w:r>
    </w:p>
    <w:p>
      <w:pPr>
        <w:jc w:val="both"/>
      </w:pPr>
      <w:r>
        <w:rPr>
          <w:rFonts w:ascii="Arial" w:hAnsi="Arial" w:eastAsia="Arial"/>
          <w:b w:val="0"/>
          <w:i w:val="0"/>
          <w:color w:val="000000"/>
          <w:sz w:val="24"/>
        </w:rPr>
        <w:t xml:space="preserve">S122 - World Bank; United Nations; European Commission - </w:t>
      </w:r>
      <w:hyperlink r:id="rId9">
        <w:r>
          <w:rPr>
            <w:rFonts w:ascii="Arial" w:hAnsi="Arial" w:eastAsia="Arial"/>
            <w:sz w:val="24"/>
            <w:color w:val="0000EE"/>
            <w:u w:val="single"/>
          </w:rPr>
          <w:t>Ukraine Fifth Rapid Damage</w:t>
        </w:r>
      </w:hyperlink>
      <w:r>
        <w:rPr>
          <w:rFonts w:ascii="Arial" w:hAnsi="Arial" w:eastAsia="Arial"/>
          <w:b w:val="0"/>
          <w:i w:val="0"/>
          <w:color w:val="000000"/>
          <w:sz w:val="24"/>
        </w:rPr>
        <w:t xml:space="preserve"> and Needs Assessment (RDNA5). [1]</w:t>
      </w:r>
    </w:p>
    <w:p>
      <w:pPr>
        <w:jc w:val="both"/>
      </w:pPr>
      <w:r>
        <w:rPr>
          <w:rFonts w:ascii="Arial" w:hAnsi="Arial" w:eastAsia="Arial"/>
          <w:b w:val="0"/>
          <w:i w:val="0"/>
          <w:color w:val="000000"/>
          <w:sz w:val="24"/>
        </w:rPr>
        <w:t>S056 - IEA - Ukraine’s energy security and the coming winter. [1]</w:t>
      </w:r>
    </w:p>
    <w:p>
      <w:pPr>
        <w:jc w:val="both"/>
      </w:pPr>
      <w:r>
        <w:rPr>
          <w:rFonts w:ascii="Arial" w:hAnsi="Arial" w:eastAsia="Arial"/>
          <w:b w:val="0"/>
          <w:i w:val="0"/>
          <w:color w:val="000000"/>
          <w:sz w:val="24"/>
        </w:rPr>
        <w:t>S042 - GMK Center - Electricity and gas prices in Ukraine for industrial consumers in 2025. [1]</w:t>
      </w:r>
    </w:p>
    <w:p>
      <w:pPr>
        <w:jc w:val="both"/>
      </w:pPr>
      <w:r>
        <w:rPr>
          <w:rFonts w:ascii="Arial" w:hAnsi="Arial" w:eastAsia="Arial"/>
          <w:b w:val="0"/>
          <w:i w:val="0"/>
          <w:color w:val="000000"/>
          <w:sz w:val="24"/>
        </w:rPr>
        <w:t>S391 - World Bank - Donor Financing Mechanisms for Supporting Ukraine. [2]</w:t>
      </w:r>
    </w:p>
    <w:p>
      <w:pPr>
        <w:jc w:val="both"/>
      </w:pPr>
      <w:r>
        <w:rPr>
          <w:rFonts w:ascii="Arial" w:hAnsi="Arial" w:eastAsia="Arial"/>
          <w:b w:val="0"/>
          <w:i w:val="0"/>
          <w:color w:val="000000"/>
          <w:sz w:val="24"/>
        </w:rPr>
        <w:t>S392 - Ministry of Finance of Ukraine - Ukraine Donor Platform communiqué. [1]</w:t>
      </w:r>
    </w:p>
    <w:p>
      <w:pPr>
        <w:jc w:val="both"/>
      </w:pPr>
      <w:r>
        <w:rPr>
          <w:rFonts w:ascii="Arial" w:hAnsi="Arial" w:eastAsia="Arial"/>
          <w:b w:val="0"/>
          <w:i w:val="0"/>
          <w:color w:val="000000"/>
          <w:sz w:val="24"/>
        </w:rPr>
        <w:t>S393 - EBRD - First Ukrainian companies take advantage of new war risk insurance. [1]</w:t>
      </w:r>
    </w:p>
    <w:p>
      <w:pPr>
        <w:jc w:val="both"/>
      </w:pPr>
      <w:r>
        <w:rPr>
          <w:rFonts w:ascii="Arial" w:hAnsi="Arial" w:eastAsia="Arial"/>
          <w:b w:val="0"/>
          <w:i w:val="0"/>
          <w:color w:val="000000"/>
          <w:sz w:val="24"/>
        </w:rPr>
        <w:t>S397 - MIGA - MIGA Expands Insurance Support to Ukraine. [1]</w:t>
      </w:r>
    </w:p>
    <w:p>
      <w:pPr>
        <w:jc w:val="both"/>
      </w:pPr>
      <w:r>
        <w:rPr>
          <w:rFonts w:ascii="Arial" w:hAnsi="Arial" w:eastAsia="Arial"/>
          <w:b w:val="0"/>
          <w:i w:val="0"/>
          <w:color w:val="000000"/>
          <w:sz w:val="24"/>
        </w:rPr>
        <w:t>S398 - IFC - IFC in Ukraine. [1]</w:t>
      </w:r>
    </w:p>
    <w:p>
      <w:pPr>
        <w:jc w:val="both"/>
      </w:pPr>
      <w:r>
        <w:rPr>
          <w:rFonts w:ascii="Arial" w:hAnsi="Arial" w:eastAsia="Arial"/>
          <w:b w:val="0"/>
          <w:i w:val="0"/>
          <w:color w:val="000000"/>
          <w:sz w:val="24"/>
        </w:rPr>
        <w:t xml:space="preserve">S394 - </w:t>
      </w:r>
      <w:hyperlink r:id="rId10">
        <w:r>
          <w:rPr>
            <w:rFonts w:ascii="Arial" w:hAnsi="Arial" w:eastAsia="Arial"/>
            <w:sz w:val="24"/>
            <w:color w:val="0000EE"/>
            <w:u w:val="single"/>
          </w:rPr>
          <w:t>National Bank</w:t>
        </w:r>
      </w:hyperlink>
      <w:r>
        <w:rPr>
          <w:rFonts w:ascii="Arial" w:hAnsi="Arial" w:eastAsia="Arial"/>
          <w:b w:val="0"/>
          <w:i w:val="0"/>
          <w:color w:val="000000"/>
          <w:sz w:val="24"/>
        </w:rPr>
        <w:t xml:space="preserve"> of Ukraine - Financial Stability Report, June 2025. [2]</w:t>
      </w:r>
    </w:p>
    <w:p>
      <w:pPr>
        <w:jc w:val="both"/>
      </w:pPr>
      <w:r>
        <w:rPr>
          <w:rFonts w:ascii="Arial" w:hAnsi="Arial" w:eastAsia="Arial"/>
          <w:b w:val="0"/>
          <w:i w:val="0"/>
          <w:color w:val="000000"/>
          <w:sz w:val="24"/>
        </w:rPr>
        <w:t>S395 - OECD - Economic Surveys: Ukraine 2025 - Raising investment and exports. [1]</w:t>
      </w:r>
    </w:p>
    <w:p>
      <w:pPr>
        <w:jc w:val="both"/>
      </w:pPr>
      <w:r>
        <w:rPr>
          <w:rFonts w:ascii="Arial" w:hAnsi="Arial" w:eastAsia="Arial"/>
          <w:b w:val="0"/>
          <w:i w:val="0"/>
          <w:color w:val="000000"/>
          <w:sz w:val="24"/>
        </w:rPr>
        <w:t>S366 - OECD - Ukraine Economic Snapshot. [1]</w:t>
      </w:r>
    </w:p>
    <w:p>
      <w:pPr>
        <w:jc w:val="both"/>
      </w:pPr>
      <w:r>
        <w:rPr>
          <w:rFonts w:ascii="Arial" w:hAnsi="Arial" w:eastAsia="Arial"/>
          <w:b w:val="0"/>
          <w:i w:val="0"/>
          <w:color w:val="000000"/>
          <w:sz w:val="24"/>
        </w:rPr>
        <w:t xml:space="preserve">S367 - </w:t>
      </w:r>
      <w:hyperlink r:id="rId10">
        <w:r>
          <w:rPr>
            <w:rFonts w:ascii="Arial" w:hAnsi="Arial" w:eastAsia="Arial"/>
            <w:sz w:val="24"/>
            <w:color w:val="0000EE"/>
            <w:u w:val="single"/>
          </w:rPr>
          <w:t>National Bank</w:t>
        </w:r>
      </w:hyperlink>
      <w:r>
        <w:rPr>
          <w:rFonts w:ascii="Arial" w:hAnsi="Arial" w:eastAsia="Arial"/>
          <w:b w:val="0"/>
          <w:i w:val="0"/>
          <w:color w:val="000000"/>
          <w:sz w:val="24"/>
        </w:rPr>
        <w:t xml:space="preserve"> of Ukraine - Inflation Report, April 2026. [2]</w:t>
      </w:r>
    </w:p>
    <w:p>
      <w:pPr>
        <w:jc w:val="both"/>
      </w:pPr>
      <w:r>
        <w:rPr>
          <w:rFonts w:ascii="Arial" w:hAnsi="Arial" w:eastAsia="Arial"/>
          <w:b w:val="0"/>
          <w:i w:val="0"/>
          <w:color w:val="000000"/>
          <w:sz w:val="24"/>
        </w:rPr>
        <w:t>S200 - NV.ua - Logistics in Ukraine During the War: [1] Infrastructure Losses and Bottlenecks</w:t>
      </w:r>
    </w:p>
    <w:p>
      <w:pPr>
        <w:jc w:val="both"/>
      </w:pPr>
      <w:r>
        <w:rPr>
          <w:rFonts w:ascii="Arial" w:hAnsi="Arial" w:eastAsia="Arial"/>
          <w:b w:val="0"/>
          <w:i w:val="0"/>
          <w:color w:val="000000"/>
          <w:sz w:val="24"/>
        </w:rPr>
        <w:t>S201 - State University of Trade and Economics / DUT Journal - Impact of War on Ukraine’s Port Export Logistics. [1]</w:t>
      </w:r>
    </w:p>
    <w:p>
      <w:pPr>
        <w:jc w:val="both"/>
      </w:pPr>
      <w:r>
        <w:rPr>
          <w:rFonts w:ascii="Arial" w:hAnsi="Arial" w:eastAsia="Arial"/>
          <w:b w:val="0"/>
          <w:i w:val="0"/>
          <w:color w:val="000000"/>
          <w:sz w:val="24"/>
        </w:rPr>
        <w:t>S195 - IFC - Rebuilding Ukraine: [1] Investment Opportunities in Construction</w:t>
      </w:r>
    </w:p>
    <w:p>
      <w:pPr>
        <w:jc w:val="both"/>
      </w:pPr>
      <w:r>
        <w:rPr>
          <w:rFonts w:ascii="Arial" w:hAnsi="Arial" w:eastAsia="Arial"/>
          <w:b w:val="0"/>
          <w:i w:val="0"/>
          <w:color w:val="000000"/>
          <w:sz w:val="24"/>
        </w:rPr>
        <w:t>S196 - CEPR - Ukraine’s Reconstruction: [1] Policy Options for Building an Effective Financial Architecture</w:t>
      </w:r>
    </w:p>
    <w:p>
      <w:pPr>
        <w:jc w:val="both"/>
      </w:pPr>
      <w:r>
        <w:rPr>
          <w:rFonts w:ascii="Arial" w:hAnsi="Arial" w:eastAsia="Arial"/>
          <w:b w:val="0"/>
          <w:i w:val="0"/>
          <w:color w:val="000000"/>
          <w:sz w:val="24"/>
        </w:rPr>
        <w:t>S371 - European Commission / DG TAXUD - Carbon Border Adjustment Mechanism. [1]</w:t>
      </w:r>
    </w:p>
    <w:p>
      <w:pPr>
        <w:jc w:val="both"/>
      </w:pPr>
      <w:r>
        <w:rPr>
          <w:rFonts w:ascii="Arial" w:hAnsi="Arial" w:eastAsia="Arial"/>
          <w:b w:val="0"/>
          <w:i w:val="0"/>
          <w:color w:val="000000"/>
          <w:sz w:val="24"/>
        </w:rPr>
        <w:t>S368 - World Steel Association - Short Range Outlook April 2026. [1]</w:t>
      </w:r>
    </w:p>
    <w:p>
      <w:pPr>
        <w:jc w:val="both"/>
      </w:pPr>
      <w:r>
        <w:rPr>
          <w:rFonts w:ascii="Arial" w:hAnsi="Arial" w:eastAsia="Arial"/>
          <w:b w:val="0"/>
          <w:i w:val="0"/>
          <w:color w:val="000000"/>
          <w:sz w:val="24"/>
        </w:rPr>
        <w:t>S370 - OECD / FAO - Agricultural Outlook 2025-2034. [1]</w:t>
      </w:r>
    </w:p>
    <w:p>
      <w:pPr>
        <w:jc w:val="both"/>
      </w:pPr>
      <w:r>
        <w:rPr>
          <w:rFonts w:ascii="Arial" w:hAnsi="Arial" w:eastAsia="Arial"/>
          <w:b w:val="0"/>
          <w:i w:val="0"/>
          <w:color w:val="000000"/>
          <w:sz w:val="24"/>
        </w:rPr>
        <w:t>S399 - OECD - Good Governance for Critical Infrastructure Resilience. [1]</w:t>
      </w:r>
    </w:p>
    <w:p>
      <w:pPr>
        <w:jc w:val="both"/>
      </w:pPr>
      <w:r>
        <w:rPr>
          <w:rFonts w:ascii="Arial" w:hAnsi="Arial" w:eastAsia="Arial"/>
          <w:b w:val="0"/>
          <w:i w:val="0"/>
          <w:color w:val="000000"/>
          <w:sz w:val="24"/>
        </w:rPr>
        <w:t>S400 - UNDRR - Scoping study on compound, cascading and systemic risks. [1]</w:t>
      </w:r>
    </w:p>
    <w:p>
      <w:pPr>
        <w:jc w:val="both"/>
      </w:pPr>
      <w:r>
        <w:rPr>
          <w:rFonts w:ascii="Arial" w:hAnsi="Arial" w:eastAsia="Arial"/>
          <w:b w:val="0"/>
          <w:i w:val="0"/>
          <w:color w:val="000000"/>
          <w:sz w:val="24"/>
        </w:rPr>
        <w:t>S401 - World Bank - Resilience and Disaster Management. [1]</w:t>
      </w:r>
    </w:p>
    <w:p>
      <w:pPr>
        <w:jc w:val="both"/>
      </w:pPr>
      <w:r>
        <w:rPr>
          <w:rFonts w:ascii="Arial" w:hAnsi="Arial" w:eastAsia="Arial"/>
          <w:b w:val="0"/>
          <w:i w:val="0"/>
          <w:color w:val="000000"/>
          <w:sz w:val="24"/>
        </w:rPr>
        <w:t>S402 - JRC - Critical Entities Resilience. [1]</w:t>
      </w:r>
    </w:p>
    <w:p>
      <w:pPr>
        <w:jc w:val="both"/>
      </w:pPr>
      <w:r>
        <w:rPr>
          <w:rFonts w:ascii="Arial" w:hAnsi="Arial" w:eastAsia="Arial"/>
          <w:b w:val="0"/>
          <w:i w:val="0"/>
          <w:color w:val="000000"/>
          <w:sz w:val="24"/>
        </w:rPr>
        <w:t>S403 - World Bank - Economics for Disaster Prevention and Preparedness in Europe. [1]</w:t>
      </w:r>
    </w:p>
    <w:p>
      <w:pPr>
        <w:jc w:val="both"/>
      </w:pPr>
      <w:r>
        <w:rPr>
          <w:rFonts w:ascii="Arial" w:hAnsi="Arial" w:eastAsia="Arial"/>
          <w:b w:val="0"/>
          <w:i w:val="0"/>
          <w:color w:val="000000"/>
          <w:sz w:val="24"/>
        </w:rPr>
        <w:t>S404 - European Civil Protection Knowledge Network - Disruption to Critical Infrastructure. [1]</w:t>
      </w:r>
    </w:p>
    <w:p>
      <w:pPr>
        <w:jc w:val="both"/>
      </w:pPr>
      <w:r>
        <w:rPr>
          <w:rFonts w:ascii="Arial" w:hAnsi="Arial" w:eastAsia="Arial"/>
          <w:b w:val="0"/>
          <w:i w:val="0"/>
          <w:color w:val="000000"/>
          <w:sz w:val="24"/>
        </w:rPr>
        <w:t>S405 - Gerbec - Cross-CI Assessment of Risks and Cascading Effects in Critical Infrastructures. [1]</w:t>
      </w:r>
    </w:p>
    <w:p>
      <w:pPr>
        <w:jc w:val="both"/>
      </w:pPr>
      <w:r>
        <w:rPr>
          <w:rFonts w:ascii="Arial" w:hAnsi="Arial" w:eastAsia="Arial"/>
          <w:b w:val="0"/>
          <w:i w:val="0"/>
          <w:color w:val="000000"/>
          <w:sz w:val="24"/>
        </w:rPr>
        <w:t>S378 - NIST - Artificial Intelligence Risk Management Framework 1.0. [1]</w:t>
      </w:r>
    </w:p>
    <w:p>
      <w:pPr>
        <w:jc w:val="both"/>
      </w:pPr>
      <w:r>
        <w:rPr>
          <w:rFonts w:ascii="Arial" w:hAnsi="Arial" w:eastAsia="Arial"/>
          <w:b w:val="0"/>
          <w:i w:val="0"/>
          <w:color w:val="000000"/>
          <w:sz w:val="24"/>
        </w:rPr>
        <w:t>S382 - ISO - ISO 31000:2018 Risk management guidelines. [1]</w:t>
      </w:r>
    </w:p>
    <w:p>
      <w:pPr>
        <w:jc w:val="both"/>
      </w:pPr>
      <w:r>
        <w:rPr>
          <w:rFonts w:ascii="Arial" w:hAnsi="Arial" w:eastAsia="Arial"/>
          <w:b w:val="0"/>
          <w:i w:val="0"/>
          <w:color w:val="000000"/>
          <w:sz w:val="24"/>
        </w:rPr>
        <w:t>S389 - UNDRR - What is the Sendai Framework? [1]</w:t>
      </w:r>
    </w:p>
    <w:p>
      <w:pPr>
        <w:jc w:val="both"/>
      </w:pPr>
      <w:r>
        <w:rPr>
          <w:rFonts w:ascii="Arial" w:hAnsi="Arial" w:eastAsia="Arial"/>
          <w:b w:val="0"/>
          <w:i w:val="0"/>
          <w:color w:val="000000"/>
          <w:sz w:val="24"/>
        </w:rPr>
        <w:t>S390 - OECD - Draft revised Recommendation on the Governance of Critical Risks. [1]</w:t>
      </w:r>
    </w:p>
    <w:p>
      <w:pPr>
        <w:jc w:val="both"/>
      </w:pPr>
      <w:r>
        <w:rPr>
          <w:rFonts w:ascii="Arial" w:hAnsi="Arial" w:eastAsia="Arial"/>
          <w:b w:val="0"/>
          <w:i w:val="0"/>
          <w:color w:val="000000"/>
          <w:sz w:val="24"/>
        </w:rPr>
        <w:t>S092 - GMK Center - Business in a minefield: [1] insurance against missiles and losses</w:t>
      </w:r>
    </w:p>
    <w:p>
      <w:pPr>
        <w:jc w:val="both"/>
      </w:pPr>
      <w:r>
        <w:rPr>
          <w:rFonts w:ascii="Arial" w:hAnsi="Arial" w:eastAsia="Arial"/>
          <w:b w:val="0"/>
          <w:i w:val="0"/>
          <w:color w:val="000000"/>
          <w:sz w:val="24"/>
        </w:rPr>
        <w:t>S369 - International Energy Agency - Electricity 2026. [3]</w:t>
      </w:r>
    </w:p>
    <w:p>
      <w:pPr>
        <w:jc w:val="both"/>
      </w:pPr>
      <w:r>
        <w:rPr>
          <w:rFonts w:ascii="Arial" w:hAnsi="Arial" w:eastAsia="Arial"/>
          <w:b w:val="0"/>
          <w:i w:val="0"/>
          <w:color w:val="000000"/>
          <w:sz w:val="24"/>
        </w:rPr>
        <w:t>S362 - YouControl Market - Construction public snapshot. [1]</w:t>
      </w:r>
    </w:p>
    <w:p>
      <w:pPr>
        <w:pStyle w:val="Heading1"/>
      </w:pPr>
      <w:r>
        <w:rPr>
          <w:rFonts w:ascii="Arial" w:hAnsi="Arial" w:eastAsia="Arial"/>
          <w:b/>
          <w:i w:val="0"/>
          <w:color w:val="000000"/>
          <w:sz w:val="44"/>
        </w:rPr>
        <w:t>References used in this artifact</w:t>
      </w:r>
    </w:p>
    <w:p>
      <w:pPr>
        <w:pStyle w:val="Heading1"/>
      </w:pPr>
      <w:r>
        <w:rPr>
          <w:rFonts w:ascii="Arial" w:hAnsi="Arial" w:eastAsia="Arial"/>
          <w:b/>
          <w:i w:val="0"/>
          <w:color w:val="000000"/>
          <w:sz w:val="44"/>
        </w:rPr>
        <w:t>Висновки</w:t>
      </w:r>
    </w:p>
    <w:p>
      <w:pPr>
        <w:jc w:val="both"/>
      </w:pPr>
      <w:r>
        <w:rPr>
          <w:rFonts w:ascii="Arial" w:hAnsi="Arial" w:eastAsia="Arial"/>
          <w:b w:val="0"/>
          <w:i w:val="0"/>
          <w:color w:val="000000"/>
          <w:sz w:val="24"/>
        </w:rPr>
        <w:t>У ризиковій оцінці вирішальною стає послідовність кроків, що зменшує ціну затримки і підсилює виробничу спроможність. [1]</w:t>
      </w:r>
    </w:p>
    <w:p>
      <w:pPr>
        <w:jc w:val="both"/>
      </w:pPr>
      <w:r>
        <w:rPr>
          <w:rFonts w:ascii="Arial" w:hAnsi="Arial" w:eastAsia="Arial"/>
          <w:b w:val="0"/>
          <w:i w:val="0"/>
          <w:color w:val="000000"/>
          <w:sz w:val="24"/>
        </w:rPr>
        <w:t>Капітал реагує на дисципліну виконання, зрозуміле правило входу і нижчу ціну ризику. [1] Там, де ці умови формуються, воєнна невизначеність переходить у фактор, який можна оцінити, страхувати і закладати в інвестиційну модель.</w:t>
      </w:r>
    </w:p>
    <w:p>
      <w:pPr>
        <w:jc w:val="both"/>
      </w:pPr>
      <w:r>
        <w:rPr>
          <w:rFonts w:ascii="Arial" w:hAnsi="Arial" w:eastAsia="Arial"/>
          <w:b w:val="0"/>
          <w:i w:val="0"/>
          <w:color w:val="000000"/>
          <w:sz w:val="24"/>
        </w:rPr>
        <w:t>Праця, інженерні команди і нові виробничі ініціативи тримаються там, де видно реальний фронт роботи, стабільний попит і довший горизонт контракту. [1] Такий зв'язок між рішенням і щоденною економічною поведінкою визначає темп повернення людей та компетенцій.</w:t>
      </w:r>
    </w:p>
    <w:p>
      <w:pPr>
        <w:jc w:val="both"/>
      </w:pPr>
      <w:r>
        <w:rPr>
          <w:rFonts w:ascii="Arial" w:hAnsi="Arial" w:eastAsia="Arial"/>
          <w:b w:val="0"/>
          <w:i w:val="0"/>
          <w:color w:val="000000"/>
          <w:sz w:val="24"/>
        </w:rPr>
        <w:t>Суспільна стійкість залежить від прозорих правил, нових виробництв, передбачуваних сервісів і реальної інтеграції тих, хто повертається з війни або вимушеного переміщення. [1] Без цієї опори навіть сильні інвестиційні рішення не переходять у повноцінний цикл зростання.</w:t>
      </w:r>
    </w:p>
    <w:p>
      <w:pPr>
        <w:jc w:val="both"/>
      </w:pPr>
      <w:r>
        <w:rPr>
          <w:rFonts w:ascii="Arial" w:hAnsi="Arial" w:eastAsia="Arial"/>
          <w:b w:val="0"/>
          <w:i w:val="0"/>
          <w:color w:val="000000"/>
          <w:sz w:val="24"/>
        </w:rPr>
        <w:t>Подальший крок полягає у зміні сигналів, які можна перевірити повторно. [1] Через них державні рішення, приватний капітал і робота фахівців переходять із режиму виживання в режим контрольованого розвитку.</w:t>
      </w:r>
    </w:p>
    <w:p>
      <w:pPr>
        <w:pStyle w:val="Heading1"/>
      </w:pPr>
      <w:r>
        <w:rPr>
          <w:rFonts w:ascii="Arial" w:hAnsi="Arial" w:eastAsia="Arial"/>
          <w:b/>
          <w:i w:val="0"/>
          <w:color w:val="000000"/>
          <w:sz w:val="44"/>
        </w:rPr>
        <w:t>Список джерел</w:t>
      </w:r>
    </w:p>
    <w:p>
      <w:pPr/>
      <w:r>
        <w:rPr>
          <w:rFonts w:ascii="Arial" w:hAnsi="Arial" w:eastAsia="Arial"/>
          <w:b w:val="0"/>
          <w:i w:val="0"/>
          <w:color w:val="000000"/>
          <w:sz w:val="24"/>
        </w:rPr>
        <w:t>[1] S122 World Bank; United Nations; European Commission - Ukraine Fifth Rapid Damage and Needs Assessment (RDNA5) [Електронний ресурс]. worldbank.org, 2026.</w:t>
      </w:r>
    </w:p>
    <w:p>
      <w:pPr/>
      <w:r>
        <w:rPr>
          <w:rFonts w:ascii="Arial" w:hAnsi="Arial" w:eastAsia="Arial"/>
          <w:b w:val="0"/>
          <w:i w:val="0"/>
          <w:color w:val="000000"/>
          <w:sz w:val="24"/>
        </w:rPr>
        <w:t>[2] S087 National Bank of Ukraine (NBU) — FSR 2025 H1 eng [Електронний ресурс]. - bank.gov.ua. - null. - Режим доступу: https://bank.gov.ua/admin_uploads/article/FSR_2025-H1_eng.pdf.</w:t>
      </w:r>
    </w:p>
    <w:p>
      <w:pPr/>
      <w:r>
        <w:rPr>
          <w:rFonts w:ascii="Arial" w:hAnsi="Arial" w:eastAsia="Arial"/>
          <w:b w:val="0"/>
          <w:i w:val="0"/>
          <w:color w:val="000000"/>
          <w:sz w:val="24"/>
        </w:rPr>
        <w:t>[3] S091 International Monetary Fund (IMF) — ukr [Електронний ресурс]. - www.imf.org. - null. - Режим доступу: https://www.imf.org/en/countries/ukr.</w:t>
      </w:r>
    </w:p>
    <w:p>
      <w:pPr/>
      <w:r>
        <w:rPr>
          <w:rFonts w:ascii="Arial" w:hAnsi="Arial" w:eastAsia="Arial"/>
          <w:b w:val="0"/>
          <w:i w:val="0"/>
          <w:color w:val="000000"/>
          <w:sz w:val="24"/>
        </w:rPr>
        <w:t>[4] S363 IMF — Ukraine country page [Електронний ресурс]. - imf.org. - "live page, accessed 2026-05-18". - Режим доступу: https://www.imf.org/en/countries/ukr.</w:t>
      </w:r>
    </w:p>
    <w:p>
      <w:pPr/>
      <w:r>
        <w:rPr>
          <w:rFonts w:ascii="Arial" w:hAnsi="Arial" w:eastAsia="Arial"/>
          <w:b w:val="0"/>
          <w:i w:val="0"/>
          <w:color w:val="000000"/>
          <w:sz w:val="24"/>
        </w:rPr>
        <w:t>[5] S364 World Bank — Ukraine Macro Poverty Outlook, April 2026 [Електронний ресурс]. - thedocs.worldbank.org. - "2026-04". - Режим доступу: https://thedocs.worldbank.org/en/doc/d5f32ef28464d01f195827b7e020a3e8-0500022021/related/mpo-ukr.pdf.</w:t>
      </w:r>
    </w:p>
    <w:p>
      <w:pPr/>
      <w:r>
        <w:rPr>
          <w:rFonts w:ascii="Arial" w:hAnsi="Arial" w:eastAsia="Arial"/>
          <w:b w:val="0"/>
          <w:i w:val="0"/>
          <w:color w:val="000000"/>
          <w:sz w:val="24"/>
        </w:rPr>
        <w:t>[6] S365 EBRD — Ukraine maintains macroeconomic stability despite war [Електронний ресурс]. - ebrd.com. - "2026-02-26". - Режим доступу: https://www.ebrd.com/home/news-and-events/news/2026/ukraine-maintains-macroeconomic-stability-despite-war---ebrd-rep.html.</w:t>
      </w:r>
    </w:p>
    <w:p>
      <w:pPr/>
      <w:r>
        <w:rPr>
          <w:rFonts w:ascii="Arial" w:hAnsi="Arial" w:eastAsia="Arial"/>
          <w:b w:val="0"/>
          <w:i w:val="0"/>
          <w:color w:val="000000"/>
          <w:sz w:val="24"/>
        </w:rPr>
        <w:t>[7] S366 OECD — Ukraine Economic Snapshot [Електронний ресурс]. - oecd.org. - "live page; Dec 2025 projection note". - Режим доступу: https://www.oecd.org/en/topics/sub-issues/economic-surveys/ukraine-economic-snapshot.html.</w:t>
      </w:r>
    </w:p>
    <w:p>
      <w:pPr/>
      <w:r>
        <w:rPr>
          <w:rFonts w:ascii="Arial" w:hAnsi="Arial" w:eastAsia="Arial"/>
          <w:b w:val="0"/>
          <w:i w:val="0"/>
          <w:color w:val="000000"/>
          <w:sz w:val="24"/>
        </w:rPr>
        <w:t>[8] S370 OECD‑FAO — Agricultural Outlook 2025–2034 [Електронний ресурс]. - oecd.org. - "2025-07". - Режим доступу: https://www.oecd.org/en/publications/2025/07/oecd-fao-agricultural-outlook-2025-2034_3eb15914.html.</w:t>
      </w:r>
    </w:p>
    <w:p>
      <w:pPr/>
      <w:r>
        <w:rPr>
          <w:rFonts w:ascii="Arial" w:hAnsi="Arial" w:eastAsia="Arial"/>
          <w:b w:val="0"/>
          <w:i w:val="0"/>
          <w:color w:val="000000"/>
          <w:sz w:val="24"/>
        </w:rPr>
        <w:t>[9] S367 NBU — Inflation Report, April 2026 [Електронний ресурс]. - bank.gov.ua. - "2026-04". - Режим доступу: https://bank.gov.ua/admin_uploads/article/IR_2026-Q2_summary_en.pdf?v=17.</w:t>
      </w:r>
    </w:p>
    <w:p>
      <w:pPr/>
      <w:r>
        <w:rPr>
          <w:rFonts w:ascii="Arial" w:hAnsi="Arial" w:eastAsia="Arial"/>
          <w:b w:val="0"/>
          <w:i w:val="0"/>
          <w:color w:val="000000"/>
          <w:sz w:val="24"/>
        </w:rPr>
        <w:t>[10] S368 worldsteel — Short Range Outlook April 2026 [Електронний ресурс]. - worldsteel.org. - "2026-04-14". - Режим доступу: https://worldsteel.org/media/press-releases/2026/worldsteel-short-range-outlook-april-2026/.</w:t>
      </w:r>
    </w:p>
    <w:p>
      <w:pPr/>
      <w:r>
        <w:rPr>
          <w:rFonts w:ascii="Arial" w:hAnsi="Arial" w:eastAsia="Arial"/>
          <w:b w:val="0"/>
          <w:i w:val="0"/>
          <w:color w:val="000000"/>
          <w:sz w:val="24"/>
        </w:rPr>
        <w:t>[11] S369 IEA — Electricity 2026 [Електронний ресурс]. - iea.org. - "2026". - Режим доступу: https://www.iea.org/reports/electricity-2026/executive-summary.</w:t>
      </w:r>
    </w:p>
    <w:p>
      <w:pPr/>
      <w:r>
        <w:rPr>
          <w:rFonts w:ascii="Arial" w:hAnsi="Arial" w:eastAsia="Arial"/>
          <w:b w:val="0"/>
          <w:i w:val="0"/>
          <w:color w:val="000000"/>
          <w:sz w:val="24"/>
        </w:rPr>
        <w:t>[12] S371 European Commission — Carbon Border Adjustment Mechanism [Електронний ресурс]. - taxation-customs.ec.europa.eu. - "live page; definitive regime from 2026". - Режим доступу: https://taxation-customs.ec.europa.eu/carbon-border-adjustment-mechanism_en.</w:t>
      </w:r>
    </w:p>
    <w:p>
      <w:pPr/>
      <w:r>
        <w:rPr>
          <w:rFonts w:ascii="Arial" w:hAnsi="Arial" w:eastAsia="Arial"/>
          <w:b w:val="0"/>
          <w:i w:val="0"/>
          <w:color w:val="000000"/>
          <w:sz w:val="24"/>
        </w:rPr>
        <w:t>[13] S372 OECD. Ukraine’s Strategic Response to the Displacement Crisis [Електронний ресурс]. OECD, 2026. Режим доступу: https://www.oecd.org/en/publications/ukraine-s-strategic-response-to-the-displacement-crisis_9b773da4-en.html. Дата звернення: 2026-05-25.</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9" w:lineRule="auto"/>
      <w:jc w:val="both"/>
    </w:pPr>
    <w:rPr>
      <w:rFonts w:ascii="Arial" w:hAnsi="Arial" w:eastAsia="Arial"/>
      <w:color w:val="00000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120"/>
      <w:jc w:val="left"/>
      <w:outlineLvl w:val="0"/>
    </w:pPr>
    <w:rPr>
      <w:rFonts w:asciiTheme="majorHAnsi" w:eastAsiaTheme="majorEastAsia" w:hAnsiTheme="majorHAnsi" w:cstheme="majorBidi" w:ascii="Arial" w:hAnsi="Arial" w:eastAsia="Arial"/>
      <w:b/>
      <w:bCs/>
      <w:color w:val="000000"/>
      <w:sz w:val="44"/>
      <w:szCs w:val="28"/>
    </w:rPr>
  </w:style>
  <w:style w:type="paragraph" w:styleId="Heading2">
    <w:name w:val="heading 2"/>
    <w:basedOn w:val="Normal"/>
    <w:next w:val="Normal"/>
    <w:link w:val="Heading2Char"/>
    <w:uiPriority w:val="9"/>
    <w:unhideWhenUsed/>
    <w:qFormat/>
    <w:rsid w:val="00FC693F"/>
    <w:pPr>
      <w:keepNext/>
      <w:keepLines/>
      <w:spacing w:before="120" w:after="120"/>
      <w:jc w:val="left"/>
      <w:outlineLvl w:val="1"/>
    </w:pPr>
    <w:rPr>
      <w:rFonts w:asciiTheme="majorHAnsi" w:eastAsiaTheme="majorEastAsia" w:hAnsiTheme="majorHAnsi" w:cstheme="majorBidi" w:ascii="Arial" w:hAnsi="Arial" w:eastAsia="Arial"/>
      <w:b/>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120" w:after="120"/>
      <w:jc w:val="left"/>
      <w:outlineLvl w:val="2"/>
    </w:pPr>
    <w:rPr>
      <w:rFonts w:asciiTheme="majorHAnsi" w:eastAsiaTheme="majorEastAsia" w:hAnsiTheme="majorHAnsi" w:cstheme="majorBidi" w:ascii="Arial" w:hAnsi="Arial" w:eastAsia="Arial"/>
      <w:b/>
      <w:bCs/>
      <w:color w:val="000000"/>
      <w:sz w:val="28"/>
    </w:rPr>
  </w:style>
  <w:style w:type="paragraph" w:styleId="Heading4">
    <w:name w:val="heading 4"/>
    <w:basedOn w:val="Normal"/>
    <w:next w:val="Normal"/>
    <w:link w:val="Heading4Char"/>
    <w:uiPriority w:val="9"/>
    <w:semiHidden/>
    <w:unhideWhenUsed/>
    <w:qFormat/>
    <w:rsid w:val="00FC693F"/>
    <w:pPr>
      <w:keepNext/>
      <w:keepLines/>
      <w:spacing w:before="120" w:after="120"/>
      <w:jc w:val="left"/>
      <w:outlineLvl w:val="3"/>
    </w:pPr>
    <w:rPr>
      <w:rFonts w:asciiTheme="majorHAnsi" w:eastAsiaTheme="majorEastAsia" w:hAnsiTheme="majorHAnsi" w:cstheme="majorBidi" w:ascii="Arial" w:hAnsi="Arial" w:eastAsia="Arial"/>
      <w:b/>
      <w:bCs/>
      <w:i/>
      <w:iCs/>
      <w:color w:val="000000"/>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120"/>
      <w:contextualSpacing/>
      <w:jc w:val="left"/>
    </w:pPr>
    <w:rPr>
      <w:rFonts w:asciiTheme="majorHAnsi" w:eastAsiaTheme="majorEastAsia" w:hAnsiTheme="majorHAnsi" w:cstheme="majorBidi" w:ascii="Arial" w:hAnsi="Arial" w:eastAsia="Arial"/>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80" w:after="160"/>
      <w:jc w:val="center"/>
    </w:pPr>
    <w:rPr>
      <w:rFonts w:ascii="Arial" w:hAnsi="Arial" w:eastAsia="Arial"/>
      <w:b/>
      <w:bCs/>
      <w:color w:val="000000"/>
      <w:sz w:val="22"/>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uments1.worldbank.org/curated/en/099022026094036395/pdf/P514499-22f93f3a-4278-42bc-b907-db9553d12069.pdf" TargetMode="External"/><Relationship Id="rId10" Type="http://schemas.openxmlformats.org/officeDocument/2006/relationships/hyperlink" Target="https://bank.gov.ua/admin_uploads/article/FSR_2025-H1_e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