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Агрегація секторів: виробництво, експорт, зайнятість і фіскальна база до 2030-2035 року</w:t>
      </w:r>
    </w:p>
    <w:p>
      <w:pPr>
        <w:jc w:val="both"/>
      </w:pPr>
      <w:r>
        <w:rPr>
          <w:rFonts w:ascii="Arial" w:hAnsi="Arial" w:eastAsia="Arial"/>
          <w:b w:val="0"/>
          <w:i w:val="0"/>
          <w:color w:val="000000"/>
          <w:sz w:val="24"/>
        </w:rPr>
        <w:t>У секторальній агрегації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Навіщо потрібна секторна агрегація</w:t>
      </w:r>
    </w:p>
    <w:p>
      <w:pPr>
        <w:jc w:val="both"/>
      </w:pPr>
      <w:r>
        <w:rPr>
          <w:rFonts w:ascii="Arial" w:hAnsi="Arial" w:eastAsia="Arial"/>
          <w:b w:val="0"/>
          <w:i w:val="0"/>
          <w:color w:val="000000"/>
          <w:sz w:val="24"/>
        </w:rPr>
        <w:t>Секторна агрегація потрібна для того, щоб не змішати десять різних типів доказів в одне слабке число. [6] Металургія, енергетика, хімічна промисловість, машинобудування, будівництво, агропромисловий комплекс, людський капітал, логістика, тарифи та фінанси мають різні одиниці виміру, різну часову глибину і різну якість даних.</w:t>
      </w:r>
    </w:p>
    <w:p>
      <w:pPr>
        <w:jc w:val="both"/>
      </w:pPr>
      <w:r>
        <w:rPr>
          <w:rFonts w:ascii="Arial" w:hAnsi="Arial" w:eastAsia="Arial"/>
          <w:b w:val="0"/>
          <w:i w:val="0"/>
          <w:color w:val="000000"/>
          <w:sz w:val="24"/>
        </w:rPr>
        <w:t>Канал: виробництво. Він відображає фізичну або індексну спроможність сектору створювати випуск. У металургії цей канал може спиратися на довгі часові ряди сталі, чавуну і прокату; у будівництві - на виконані роботи, матеріали й відбудовчий попит; у хімії - на добрива, базову хімію та фармацевтичний сегмент; у машинобудуванні - на серійність, оборонний попит і цивільні підгалузі. [7]</w:t>
      </w:r>
    </w:p>
    <w:p>
      <w:pPr>
        <w:jc w:val="both"/>
      </w:pPr>
      <w:r>
        <w:rPr>
          <w:rFonts w:ascii="Arial" w:hAnsi="Arial" w:eastAsia="Arial"/>
          <w:b w:val="0"/>
          <w:i w:val="0"/>
          <w:color w:val="000000"/>
          <w:sz w:val="24"/>
        </w:rPr>
        <w:t>Канал: експорт. Він не збігається з виробництвом: сектор може відновлювати фізичний випуск, але втрачати валютну виручку через логістику, зміну ринків, CBAM, ціни на енергію або обмеження фінансування оборотного капіталу. Для цього блоку показує, що експортна агрегація ведеться окремо від виробничої, а кожен сектор отримує власну експортну вагу. [8]</w:t>
      </w:r>
    </w:p>
    <w:p>
      <w:pPr>
        <w:jc w:val="both"/>
      </w:pPr>
      <w:r>
        <w:rPr>
          <w:rFonts w:ascii="Arial" w:hAnsi="Arial" w:eastAsia="Arial"/>
          <w:b w:val="0"/>
          <w:i w:val="0"/>
          <w:color w:val="000000"/>
          <w:sz w:val="24"/>
        </w:rPr>
        <w:t>Канал: зайнятість. Він показує, чи є в економіки достатня кількість працівників, інженерів, техніків, операторів, будівельників, логістів і управлінських команд для реалізації виробничої траєкторії. Кадрова база не може автоматично слідувати за капітальними планами, оскільки зовнішня міграція, внутрішнє переміщення, мобілізація, старіння населення і зміна структури попиту вже обмежують швидкість відновлення. [9]</w:t>
      </w:r>
    </w:p>
    <w:p>
      <w:pPr>
        <w:jc w:val="both"/>
      </w:pPr>
      <w:r>
        <w:rPr>
          <w:rFonts w:ascii="Arial" w:hAnsi="Arial" w:eastAsia="Arial"/>
          <w:b w:val="0"/>
          <w:i w:val="0"/>
          <w:color w:val="000000"/>
          <w:sz w:val="24"/>
        </w:rPr>
        <w:t>Канал: фіскальна база. Вона виникає не тільки з податку на прибуток великих підприємств. Для виробничої економіки важливі ПДВ, ПДФО, ЄСВ, імпортний ПДВ, мита, рента, акцизи, місцеві податки, транспортні платежі, податки із заробітної плати та непрямі бюджетні ефекти від локалізації. [10]</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Призначення</w:t>
            </w:r>
          </w:p>
        </w:tc>
        <w:tc>
          <w:tcPr>
            <w:tcW w:type="dxa" w:w="5102"/>
          </w:tcPr>
          <w:p>
            <w:pPr>
              <w:jc w:val="left"/>
            </w:pPr>
            <w:r/>
            <w:r>
              <w:rPr>
                <w:rFonts w:ascii="Arial" w:hAnsi="Arial" w:eastAsia="Arial"/>
                <w:b w:val="0"/>
                <w:i w:val="0"/>
                <w:color w:val="000000"/>
                <w:sz w:val="20"/>
              </w:rPr>
              <w:t>Пояснити, чому цей блок не підсумовує фізично несумірні одиниці й не замінює макропрогноз.</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Секторні ряди виробництва, експорту, зайнятості, фіскальних надходжень, графіки A0/A1-A6/B1-B4 та джерела S###.</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агрегації</w:t>
            </w:r>
          </w:p>
        </w:tc>
        <w:tc>
          <w:tcPr>
            <w:tcW w:type="dxa" w:w="5102"/>
          </w:tcPr>
          <w:p>
            <w:pPr>
              <w:jc w:val="left"/>
            </w:pPr>
            <w:r/>
            <w:r>
              <w:rPr>
                <w:rFonts w:ascii="Arial" w:hAnsi="Arial" w:eastAsia="Arial"/>
                <w:b w:val="0"/>
                <w:i w:val="0"/>
                <w:color w:val="000000"/>
                <w:sz w:val="20"/>
              </w:rPr>
              <w:t>Кожен сектор порівнюється з власною базою, після чого індекси зводяться через ваги каналу. Виробництво, експорт, зайнятість і фіскальна база не зливаються в один показник.</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джерел</w:t>
            </w:r>
          </w:p>
        </w:tc>
        <w:tc>
          <w:tcPr>
            <w:tcW w:type="dxa" w:w="5102"/>
          </w:tcPr>
          <w:p>
            <w:pPr>
              <w:jc w:val="left"/>
            </w:pPr>
            <w:r/>
            <w:r>
              <w:rPr>
                <w:rFonts w:ascii="Arial" w:hAnsi="Arial" w:eastAsia="Arial"/>
                <w:b w:val="0"/>
                <w:i w:val="0"/>
                <w:color w:val="000000"/>
                <w:sz w:val="20"/>
              </w:rPr>
              <w:t>Кожен ряд таблиці має SourceID; upstream-графік зазначається лише тоді, коли він справді існує у публічному графовому шарі.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Індекс не є офіційною статистикою і не замінює національні рахунки.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Зростання індексу означає посилення відповідного каналу, а не механічне збільшення ВВП.</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Стартові позиції 2020-2025</w:t>
      </w:r>
    </w:p>
    <w:p>
      <w:pPr>
        <w:jc w:val="both"/>
      </w:pPr>
      <w:r>
        <w:rPr>
          <w:rFonts w:ascii="Arial" w:hAnsi="Arial" w:eastAsia="Arial"/>
          <w:b w:val="0"/>
          <w:i w:val="0"/>
          <w:color w:val="000000"/>
          <w:sz w:val="24"/>
        </w:rPr>
        <w:t>Період 2020-2025 є операційним входом для цього блоку. [7] Він охоплює останню стабільнішу довоєнну точку, перший воєнний шок, часткове відновлення, зміну логістики, енергетичні удари, кадровий зсув і новий тарифно-фінансовий режим. Саме цей період визначає, які дані можна агрегувати кількісно, а де потрібні індексні або діапазонні оцінки.</w:t>
      </w:r>
    </w:p>
    <w:p>
      <w:pPr>
        <w:jc w:val="both"/>
      </w:pPr>
      <w:r>
        <w:rPr>
          <w:rFonts w:ascii="Arial" w:hAnsi="Arial" w:eastAsia="Arial"/>
          <w:b w:val="0"/>
          <w:i w:val="0"/>
          <w:color w:val="000000"/>
          <w:sz w:val="24"/>
        </w:rPr>
        <w:t>Металургія входить у цьому блоці як сектор із найсильнішою історичною виробничою базою, але з різко звуженим активним контуром після втрати частини великих активів. [4] Галузеве джерело фіксує, що після російської агресії кількість активних великих виробників сталі та номінальна потужність суттєво скоротилися; для цього блоку показує, що довга історична серія не може автоматично переноситися в прогноз без корекції на втрату активів, енергію, порти, ринки та CBAM.</w:t>
      </w:r>
    </w:p>
    <w:p>
      <w:pPr>
        <w:jc w:val="both"/>
      </w:pPr>
      <w:r>
        <w:rPr>
          <w:rFonts w:ascii="Arial" w:hAnsi="Arial" w:eastAsia="Arial"/>
          <w:b w:val="0"/>
          <w:i w:val="0"/>
          <w:color w:val="000000"/>
          <w:sz w:val="24"/>
        </w:rPr>
        <w:t>Втрата генеруючих потужностей, пошкодження мереж, імпорт електроенергії, цінові обмеження на ринках і промислові тарифи впливають на металургію, хімію, будматеріали, агропереробку та машинобудування. [5]</w:t>
      </w:r>
    </w:p>
    <w:p>
      <w:pPr>
        <w:jc w:val="both"/>
      </w:pPr>
      <w:r>
        <w:rPr>
          <w:rFonts w:ascii="Arial" w:hAnsi="Arial" w:eastAsia="Arial"/>
          <w:b w:val="0"/>
          <w:i w:val="0"/>
          <w:color w:val="000000"/>
          <w:sz w:val="24"/>
        </w:rPr>
        <w:t xml:space="preserve">Хімічна промисловість показує, чому сектор не можна агрегувати тільки за одним показником. [6] Добрива мають один цикл, фармацевтика - інший, базова хімія залежить від газу й енергії, а експортна роль сектору не збігається з внутрішнім аграрним попитом. Для цього блоку ключовим вхідним сигналом є те, що OSTCHEM у 2024 році виробив </w:t>
      </w:r>
      <w:hyperlink r:id="rId9">
        <w:r>
          <w:rPr>
            <w:rFonts w:ascii="Arial" w:hAnsi="Arial" w:eastAsia="Arial"/>
            <w:sz w:val="24"/>
            <w:color w:val="0000EE"/>
            <w:u w:val="single"/>
          </w:rPr>
          <w:t>1,8 млн</w:t>
        </w:r>
      </w:hyperlink>
      <w:r>
        <w:rPr>
          <w:rFonts w:ascii="Arial" w:hAnsi="Arial" w:eastAsia="Arial"/>
          <w:b w:val="0"/>
          <w:i w:val="0"/>
          <w:color w:val="000000"/>
          <w:sz w:val="24"/>
        </w:rPr>
        <w:t xml:space="preserve"> тонн мінеральних добрив, але цей обсяг не повертає сектор до довоєнного максимуму і потребує окремого сценарного коридору.</w:t>
      </w:r>
    </w:p>
    <w:p>
      <w:pPr>
        <w:jc w:val="both"/>
      </w:pPr>
      <w:r>
        <w:rPr>
          <w:rFonts w:ascii="Arial" w:hAnsi="Arial" w:eastAsia="Arial"/>
          <w:b w:val="0"/>
          <w:i w:val="0"/>
          <w:color w:val="000000"/>
          <w:sz w:val="24"/>
        </w:rPr>
        <w:t>Машинобудування має іншу природу: [8] його виробничий сигнал пов’язаний із серійністю, оборонним попитом, ремонтом, енергетичним обладнанням, транспортом, аграрною технікою і цивільними ланцюгами компонентів.</w:t>
      </w:r>
    </w:p>
    <w:p>
      <w:pPr>
        <w:jc w:val="both"/>
      </w:pPr>
      <w:r>
        <w:rPr>
          <w:rFonts w:ascii="Arial" w:hAnsi="Arial" w:eastAsia="Arial"/>
          <w:b w:val="0"/>
          <w:i w:val="0"/>
          <w:color w:val="000000"/>
          <w:sz w:val="24"/>
        </w:rPr>
        <w:t>Будівництво і будівельні матеріали входять через потребу відбудови, реальні виконані роботи, локалізацію матеріалів, доступність праці та вартість енергії. [9]</w:t>
      </w:r>
    </w:p>
    <w:p>
      <w:pPr>
        <w:jc w:val="both"/>
      </w:pPr>
      <w:r>
        <w:rPr>
          <w:rFonts w:ascii="Arial" w:hAnsi="Arial" w:eastAsia="Arial"/>
          <w:b w:val="0"/>
          <w:i w:val="0"/>
          <w:color w:val="000000"/>
          <w:sz w:val="24"/>
        </w:rPr>
        <w:t>Агропромисловий комплекс зберігає валютну й фіскальну роль, але його майбутня якість залежить від переробки, зберігання, портів, добрив, енергії та доступу до світових ринків. [10]</w:t>
      </w:r>
    </w:p>
    <w:p>
      <w:pPr>
        <w:jc w:val="both"/>
      </w:pPr>
      <w:r>
        <w:rPr>
          <w:rFonts w:ascii="Arial" w:hAnsi="Arial" w:eastAsia="Arial"/>
          <w:b w:val="0"/>
          <w:i w:val="0"/>
          <w:color w:val="000000"/>
          <w:sz w:val="24"/>
        </w:rPr>
        <w:t>Людський капітал створює спільну межу для всіх секторів. [11] Якщо в секторі є попит, але немає працівників потрібної кваліфікації, агрегований виробничий індекс не може реалізуватися. Тому зайнятість у цьому блоці не є соціальним додатком до економічного тексту; це один із чотирьох базових каналів агрегації.</w:t>
      </w:r>
    </w:p>
    <w:p>
      <w:pPr>
        <w:pStyle w:val="Heading1"/>
      </w:pPr>
      <w:r>
        <w:rPr>
          <w:rFonts w:ascii="Arial" w:hAnsi="Arial" w:eastAsia="Arial"/>
          <w:b/>
          <w:i w:val="0"/>
          <w:color w:val="000000"/>
          <w:sz w:val="44"/>
        </w:rPr>
        <w:t>Вісім сигналів перед агрегацією</w:t>
      </w:r>
    </w:p>
    <w:p>
      <w:pPr>
        <w:jc w:val="both"/>
      </w:pPr>
      <w:r>
        <w:rPr>
          <w:rFonts w:ascii="Arial" w:hAnsi="Arial" w:eastAsia="Arial"/>
          <w:b w:val="0"/>
          <w:i w:val="0"/>
          <w:color w:val="000000"/>
          <w:sz w:val="24"/>
        </w:rPr>
        <w:t>Сигнал: промислова база стала вужчою, але зберегла опорні контури. У цьому блоці цей сигнал не використовується як драматичний опис війни; він потрібен для корекції базового року. Якщо сектор втратив частину активів або маршрутів, його довоєнна база не може бути продовжена лінійно. Металургія є найочевиднішим прикладом: довга статистична серія існує, але активний промисловий контур після 2022 року вже інший, тому індекс 2030-2035 має рахуватися як відновлення обмеженої бази і потенційна модернізація, а не як просте повернення до старої географії активів. [12]</w:t>
      </w:r>
    </w:p>
    <w:p>
      <w:pPr>
        <w:jc w:val="both"/>
      </w:pPr>
      <w:r>
        <w:rPr>
          <w:rFonts w:ascii="Arial" w:hAnsi="Arial" w:eastAsia="Arial"/>
          <w:b w:val="0"/>
          <w:i w:val="0"/>
          <w:color w:val="000000"/>
          <w:sz w:val="24"/>
        </w:rPr>
        <w:t>Сигнал: енергія стала виробничою межею. У довоєнній економіці енергію часто можна було трактувати як одну з витрат, але у 2022-2025 роках вона стала умовою безперервності роботи. енергетика у цьому блоці має подвійний статус: вона є секторним блоком і водночас множником для інших секторів. [13]</w:t>
      </w:r>
    </w:p>
    <w:p>
      <w:pPr>
        <w:jc w:val="both"/>
      </w:pPr>
      <w:r>
        <w:rPr>
          <w:rFonts w:ascii="Arial" w:hAnsi="Arial" w:eastAsia="Arial"/>
          <w:b w:val="0"/>
          <w:i w:val="0"/>
          <w:color w:val="000000"/>
          <w:sz w:val="24"/>
        </w:rPr>
        <w:t>Сигнал: собівартість перетворилася на горизонтальний промисловий ризик. Коли ціна електроенергії або газу підвищується, різні сектори реагують по-різному: металургія втрачає маржу і експортну конкурентність, хімія втрачає добривний цикл, будматеріали стикаються з дорожчою тепловою обробкою та логістикою, агропереробка отримує дорожче зберігання і сушіння, а машинобудування стикається з дорожчими компонентами. В агрегованій таблиці цей сигнал не можна покласти в один сектор; він проходить через усі канали. [1]</w:t>
      </w:r>
    </w:p>
    <w:p>
      <w:pPr>
        <w:jc w:val="both"/>
      </w:pPr>
      <w:r>
        <w:rPr>
          <w:rFonts w:ascii="Arial" w:hAnsi="Arial" w:eastAsia="Arial"/>
          <w:b w:val="0"/>
          <w:i w:val="0"/>
          <w:color w:val="000000"/>
          <w:sz w:val="24"/>
        </w:rPr>
        <w:t>Сигнал: машинобудування визначає рівень промислової складності. Якщо економіка відновлює лише видобуток, первинну переробку і прості матеріали, фіскальний і технологічний ефект буде обмеженим. Машинобудування показує, чи здатна країна виробляти обладнання, транспортні рішення, енергетичні вузли, компоненти, ремонтні системи і серійні продукти. [1]</w:t>
      </w:r>
    </w:p>
    <w:p>
      <w:pPr>
        <w:jc w:val="both"/>
      </w:pPr>
      <w:r>
        <w:rPr>
          <w:rFonts w:ascii="Arial" w:hAnsi="Arial" w:eastAsia="Arial"/>
          <w:b w:val="0"/>
          <w:i w:val="0"/>
          <w:color w:val="000000"/>
          <w:sz w:val="24"/>
        </w:rPr>
        <w:t>Сигнал: будівництво перевіряє здатність країни перетворювати потреби на фізичний результат. Відбудовчі потреби самі по собі не є виробництвом. Вони стають випуском лише після проєктування, фінансування, закупівель, матеріалів, праці, енергії та логістики. Це захищає виробничу таблицю від помилки, коли великий попит автоматично перетворюється на великий випуск. [1]</w:t>
      </w:r>
    </w:p>
    <w:p>
      <w:pPr>
        <w:jc w:val="both"/>
      </w:pPr>
      <w:r>
        <w:rPr>
          <w:rFonts w:ascii="Arial" w:hAnsi="Arial" w:eastAsia="Arial"/>
          <w:b w:val="0"/>
          <w:i w:val="0"/>
          <w:color w:val="000000"/>
          <w:sz w:val="24"/>
        </w:rPr>
        <w:t>Сигнал: агропромисловий комплекс є валютною опорою, але його промислова якість визначається переробкою. Сировинний експорт підтримує платіжний баланс, однак не завжди дає максимальну зайнятість, локалізацію і податкову глибину. Якщо аграрна траєкторія до 2035 року залишається переважно сировинною, вона стабілізує валюту, але слабше підсилює машинобудування, хімію, пакування, холодну логістику, біоенергетику та харчову промисловість. [1]</w:t>
      </w:r>
    </w:p>
    <w:p>
      <w:pPr>
        <w:jc w:val="both"/>
      </w:pPr>
      <w:r>
        <w:rPr>
          <w:rFonts w:ascii="Arial" w:hAnsi="Arial" w:eastAsia="Arial"/>
          <w:b w:val="0"/>
          <w:i w:val="0"/>
          <w:color w:val="000000"/>
          <w:sz w:val="24"/>
        </w:rPr>
        <w:t>Сигнал: людський капітал став виробничою межею. Повернення частини біженців, інтеграція ВПО, професійна освіта, ветерани, мобілізаційний фактор, жіноча зайнятість, перекваліфікація та дитяча інфраструктура стають виробничими умовами. Без них інвестиційний план залишиться на папері. [1]</w:t>
      </w:r>
    </w:p>
    <w:p>
      <w:pPr>
        <w:jc w:val="both"/>
      </w:pPr>
      <w:r>
        <w:rPr>
          <w:rFonts w:ascii="Arial" w:hAnsi="Arial" w:eastAsia="Arial"/>
          <w:b w:val="0"/>
          <w:i w:val="0"/>
          <w:color w:val="000000"/>
          <w:sz w:val="24"/>
        </w:rPr>
        <w:t>Сигнал: логістика є частиною виробничої функції. Для внутрішньої відбудови логістика визначає ціну матеріалів, швидкість постачання і географію проєктів. [1]</w:t>
      </w:r>
    </w:p>
    <w:p>
      <w:pPr>
        <w:jc w:val="both"/>
      </w:pPr>
      <w:r>
        <w:rPr>
          <w:rFonts w:ascii="Arial" w:hAnsi="Arial" w:eastAsia="Arial"/>
          <w:b w:val="0"/>
          <w:i w:val="0"/>
          <w:color w:val="000000"/>
          <w:sz w:val="24"/>
        </w:rPr>
        <w:t>Ці вісім сигналів формують перший фільтр V1. [1] Якщо сектор має сильний внутрішній потенціал, але потрапляє під енергетичне, кадрове чи логістичне обмеження, його трансформаційний коридор має супроводжуватися caveat. Якщо сектор має слабшу фізичну масу, але вищу складність або фіскальну щільність, його роль не можна занижувати лише через обсяг.</w:t>
      </w:r>
    </w:p>
    <w:p>
      <w:pPr>
        <w:pStyle w:val="Heading1"/>
      </w:pPr>
      <w:r>
        <w:rPr>
          <w:rFonts w:ascii="Arial" w:hAnsi="Arial" w:eastAsia="Arial"/>
          <w:b/>
          <w:i w:val="0"/>
          <w:color w:val="000000"/>
          <w:sz w:val="44"/>
        </w:rPr>
        <w:t>Чотири канали як окремі економічні мови</w:t>
      </w:r>
    </w:p>
    <w:p>
      <w:pPr>
        <w:jc w:val="both"/>
      </w:pPr>
      <w:r>
        <w:rPr>
          <w:rFonts w:ascii="Arial" w:hAnsi="Arial" w:eastAsia="Arial"/>
          <w:b w:val="0"/>
          <w:i w:val="0"/>
          <w:color w:val="000000"/>
          <w:sz w:val="24"/>
        </w:rPr>
        <w:t>Виробнича мова відповідає на питання про фізичну або індексну спроможність. [1] У ній важливі активи, потужності, завантаження, простої, енергія, сировина, технологія і проєктна готовність. Виробничий канал близький до інженерного мислення: що реально може бути виготовлено, перероблено, відремонтовано, побудовано або доставлено. виробнича таблиця V1 має найбільше caveat щодо одиниць виміру.</w:t>
      </w:r>
    </w:p>
    <w:p>
      <w:pPr>
        <w:jc w:val="both"/>
      </w:pPr>
      <w:r>
        <w:rPr>
          <w:rFonts w:ascii="Arial" w:hAnsi="Arial" w:eastAsia="Arial"/>
          <w:b w:val="0"/>
          <w:i w:val="0"/>
          <w:color w:val="000000"/>
          <w:sz w:val="24"/>
        </w:rPr>
        <w:t>Експортна мова відповідає на питання про валютну виручку і ринки. [1] Вона не зводиться до того, скільки сектор виробив. Вироблений товар має бути доставлений, проданий, прийнятий за стандартами, профінансований і застрахований. У 2020-2025 роках Україна побачила, що експорт може залежати від безпеки портів, коридорів, тарифів, черг, страхування й зовнішніх правил не менше, ніж від самого виробництва.</w:t>
      </w:r>
    </w:p>
    <w:p>
      <w:pPr>
        <w:jc w:val="both"/>
      </w:pPr>
      <w:r>
        <w:rPr>
          <w:rFonts w:ascii="Arial" w:hAnsi="Arial" w:eastAsia="Arial"/>
          <w:b w:val="0"/>
          <w:i w:val="0"/>
          <w:color w:val="000000"/>
          <w:sz w:val="24"/>
        </w:rPr>
        <w:t>Зайнятісна мова відповідає на питання про виконавчу спроможність. [1]</w:t>
      </w:r>
    </w:p>
    <w:p>
      <w:pPr>
        <w:jc w:val="both"/>
      </w:pPr>
      <w:r>
        <w:rPr>
          <w:rFonts w:ascii="Arial" w:hAnsi="Arial" w:eastAsia="Arial"/>
          <w:b w:val="0"/>
          <w:i w:val="0"/>
          <w:color w:val="000000"/>
          <w:sz w:val="24"/>
        </w:rPr>
        <w:t>Фіскальна мова відповідає на питання про бюджетну спроможність. [1] Тут важливо, чи створює сектор прибуток, зарплати, ПДВ, імпортні платежі, місцеві доходи, ренту, акцизи та непрямі ефекти. Два сектори з однаковим індексом виробництва можуть мати різну фіскальну щільність: один продає сировину з низькою маржею, другий створює складну продукцію, сервіс і висококваліфіковану зайнятість.</w:t>
      </w:r>
    </w:p>
    <w:p>
      <w:pPr>
        <w:jc w:val="both"/>
      </w:pPr>
      <w:r>
        <w:rPr>
          <w:rFonts w:ascii="Arial" w:hAnsi="Arial" w:eastAsia="Arial"/>
          <w:b w:val="0"/>
          <w:i w:val="0"/>
          <w:color w:val="000000"/>
          <w:sz w:val="24"/>
        </w:rPr>
        <w:t>Окрема сила V1 полягає в тому, що ці мови не змішуються. [1] Якщо аграрний сектор сильний в експорті, це не означає, що він автоматично має найвищу виробничу або зайнятісну вагу. Якщо будівництво має потужний внутрішній попит, це не робить його експортним сектором. Якщо енергетика має високий системний вплив, вона не повинна двічі входити в усі виробничі ряди. Якщо машинобудування має менший обсяг, його складність може підвищувати фіскальну і технологічну вагу.</w:t>
      </w:r>
    </w:p>
    <w:p>
      <w:pPr>
        <w:pStyle w:val="Heading1"/>
      </w:pPr>
      <w:r>
        <w:rPr>
          <w:rFonts w:ascii="Arial" w:hAnsi="Arial" w:eastAsia="Arial"/>
          <w:b/>
          <w:i w:val="0"/>
          <w:color w:val="000000"/>
          <w:sz w:val="44"/>
        </w:rPr>
        <w:t>Дані, яких достатньо, і дані, які потребують нормалізації</w:t>
      </w:r>
    </w:p>
    <w:p>
      <w:pPr>
        <w:jc w:val="both"/>
      </w:pPr>
      <w:r>
        <w:rPr>
          <w:rFonts w:ascii="Arial" w:hAnsi="Arial" w:eastAsia="Arial"/>
          <w:b w:val="0"/>
          <w:i w:val="0"/>
          <w:color w:val="000000"/>
          <w:sz w:val="24"/>
        </w:rPr>
        <w:t>Не всі вхідні дані мають однакову готовність. [1] Металургія має відносно сильні фізичні ряди і галузеві джерела; це дозволяє будувати довший виробничий контур, але з корекцією на активи. Будівництво має дані про роботи й портфель відбудови, але потреба і виконання мають різні статуси.</w:t>
      </w:r>
    </w:p>
    <w:p>
      <w:pPr>
        <w:jc w:val="both"/>
      </w:pPr>
      <w:r>
        <w:rPr>
          <w:rFonts w:ascii="Arial" w:hAnsi="Arial" w:eastAsia="Arial"/>
          <w:b w:val="0"/>
          <w:i w:val="0"/>
          <w:color w:val="000000"/>
          <w:sz w:val="24"/>
        </w:rPr>
        <w:t>Хімія і машинобудування потребують підсекторного контролю. [1] У хімії один ряд добрив не описує фармацевтику або базову хімію. У машинобудуванні оборонне замовлення не описує весь цивільний сектор.</w:t>
      </w:r>
    </w:p>
    <w:p>
      <w:pPr>
        <w:jc w:val="both"/>
      </w:pPr>
      <w:r>
        <w:rPr>
          <w:rFonts w:ascii="Arial" w:hAnsi="Arial" w:eastAsia="Arial"/>
          <w:b w:val="0"/>
          <w:i w:val="0"/>
          <w:color w:val="000000"/>
          <w:sz w:val="24"/>
        </w:rPr>
        <w:t>Людський капітал також потребує нормалізації. [1] Демографічна база, біженці, тимчасовий захист, ВПО, вакансії, опитування роботодавців і професійні дефіцити не є одним рядом. Тому V1 вводить індекс кадрової реалізованості, а не намагається механічно перерахувати кожне переміщення населення в робочі місця.</w:t>
      </w:r>
    </w:p>
    <w:p>
      <w:pPr>
        <w:jc w:val="both"/>
      </w:pPr>
      <w:r>
        <w:rPr>
          <w:rFonts w:ascii="Arial" w:hAnsi="Arial" w:eastAsia="Arial"/>
          <w:b w:val="0"/>
          <w:i w:val="0"/>
          <w:color w:val="000000"/>
          <w:sz w:val="24"/>
        </w:rPr>
        <w:t>Макроекономічні дані використовуються як рамка контролю, а не як заміна секторної логіки. [1] Але ці макродані не повинні стирати різницю між секторами.</w:t>
      </w:r>
    </w:p>
    <w:p>
      <w:pPr>
        <w:jc w:val="both"/>
      </w:pPr>
      <w:r>
        <w:rPr>
          <w:rFonts w:ascii="Arial" w:hAnsi="Arial" w:eastAsia="Arial"/>
          <w:b w:val="0"/>
          <w:i w:val="0"/>
          <w:color w:val="000000"/>
          <w:sz w:val="24"/>
        </w:rPr>
        <w:t>Воєнна економіка має ризики фізичного знищення, енергетичних ударів, змін логістики, міграції, цінових шоків і регуляторних змін. [1] Якщо документ подасть точкове число там, де джерела дають лише коридор, читач отримає красиву, але слабку оцінку. Діапазон показує, де результат залежить від управлінської дії.</w:t>
      </w:r>
    </w:p>
    <w:p>
      <w:pPr>
        <w:jc w:val="both"/>
      </w:pPr>
      <w:r>
        <w:rPr>
          <w:rFonts w:ascii="Arial" w:hAnsi="Arial" w:eastAsia="Arial"/>
          <w:b w:val="0"/>
          <w:i w:val="0"/>
          <w:color w:val="000000"/>
          <w:sz w:val="24"/>
        </w:rPr>
        <w:t>Виробничий діапазон залежить від активів, потужностей, ремонту, енергії та капіталу. [1] Експортний діапазон залежить від логістики, ринків, стандартів, цін і страхування. Зайнятісний діапазон залежить від повернення, мобільності, освіти та регіональної структури. Фіскальний діапазон залежить від прибутковості, зарплат, ПДВ, імпорту і прозорості.</w:t>
      </w:r>
    </w:p>
    <w:p>
      <w:pPr>
        <w:pStyle w:val="Heading1"/>
      </w:pPr>
      <w:r>
        <w:rPr>
          <w:rFonts w:ascii="Arial" w:hAnsi="Arial" w:eastAsia="Arial"/>
          <w:b/>
          <w:i w:val="0"/>
          <w:color w:val="000000"/>
          <w:sz w:val="44"/>
        </w:rPr>
        <w:t>Метод агрегації та ваги секторів</w:t>
      </w:r>
    </w:p>
    <w:p>
      <w:pPr>
        <w:jc w:val="both"/>
      </w:pPr>
      <w:r>
        <w:rPr>
          <w:rFonts w:ascii="Arial" w:hAnsi="Arial" w:eastAsia="Arial"/>
          <w:b w:val="0"/>
          <w:i w:val="0"/>
          <w:color w:val="000000"/>
          <w:sz w:val="24"/>
        </w:rPr>
        <w:t>Метод цього блоку починається з розділення доказів на чотири канали. [1] Виробництво показує спроможність створювати випуск. Експорт показує валютну й ринкову роль. Зайнятість показує трудову межу. Фіскальна база показує, як секторний випуск перетворюється на податковий ресурс. Кожен канал має власні ваги, тому аграрний сектор може бути важчим в експорті, будівництво - у внутрішньому попиті й зайнятості, енергетика - як горизонтальний коректор, а машинобудування - як індикатор складності та локалізації.</w:t>
      </w:r>
    </w:p>
    <w:p>
      <w:pPr>
        <w:jc w:val="both"/>
      </w:pPr>
      <w:r>
        <w:rPr>
          <w:rFonts w:ascii="Arial" w:hAnsi="Arial" w:eastAsia="Arial"/>
          <w:b w:val="0"/>
          <w:i w:val="0"/>
          <w:color w:val="000000"/>
          <w:sz w:val="24"/>
        </w:rPr>
        <w:t>Базова формула використовується лише для пояснення логіки, а не для прихованого автоматичного розрахунку. [1] “Показник року” означає секторний індикатор у конкретному році; “базовий показник 2021 року” - довоєнна або остання стабільна база; “100” - рівень базового року. Якщо сектор не має надійного фізичного ряду, замість точкового числа застосовується діапазон і якісний рівень упевненості.</w:t>
      </w:r>
    </w:p>
    <w:p>
      <w:pPr>
        <w:jc w:val="both"/>
      </w:pPr>
      <w:r>
        <w:rPr>
          <w:rFonts w:ascii="Arial" w:hAnsi="Arial" w:eastAsia="Arial"/>
          <w:b w:val="0"/>
          <w:i w:val="0"/>
          <w:color w:val="000000"/>
          <w:sz w:val="24"/>
        </w:rPr>
        <w:t>Ваги не є офіційними частками у ВВП. [1] Виробнича вага формується з виробничої бази, потужності, доступності даних і ролі у суміжних ланцюгах. Експортна вага формується з валютної ролі, товарної структури та логістичної залежності. Зайнятісна вага формується з прямої та суміжної праці. Фіскальна вага формується з податків, зарплат, прибутку, ПДВ, імпорту та локалізації.</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Призначення</w:t>
            </w:r>
          </w:p>
        </w:tc>
        <w:tc>
          <w:tcPr>
            <w:tcW w:type="dxa" w:w="5102"/>
          </w:tcPr>
          <w:p>
            <w:pPr>
              <w:jc w:val="left"/>
            </w:pPr>
            <w:r/>
            <w:r>
              <w:rPr>
                <w:rFonts w:ascii="Arial" w:hAnsi="Arial" w:eastAsia="Arial"/>
                <w:b w:val="0"/>
                <w:i w:val="0"/>
                <w:color w:val="000000"/>
                <w:sz w:val="20"/>
              </w:rPr>
              <w:t>Зробити порівняння секторів прозорим без механічного підсумовування різних одиниць.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Фізичні ряди, індексні ряди, експортна роль, зайнятість, податкові сигнали, графи A1-B4, джерела S###.</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агрегації</w:t>
            </w:r>
          </w:p>
        </w:tc>
        <w:tc>
          <w:tcPr>
            <w:tcW w:type="dxa" w:w="5102"/>
          </w:tcPr>
          <w:p>
            <w:pPr>
              <w:jc w:val="left"/>
            </w:pPr>
            <w:r/>
            <w:r>
              <w:rPr>
                <w:rFonts w:ascii="Arial" w:hAnsi="Arial" w:eastAsia="Arial"/>
                <w:b w:val="0"/>
                <w:i w:val="0"/>
                <w:color w:val="000000"/>
                <w:sz w:val="20"/>
              </w:rPr>
              <w:t>Для кожного каналу використовується окрема вага. Вага відображає роль сектору в конкретному каналі, а не загальну “важливість” сектору для країни.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джерел</w:t>
            </w:r>
          </w:p>
        </w:tc>
        <w:tc>
          <w:tcPr>
            <w:tcW w:type="dxa" w:w="5102"/>
          </w:tcPr>
          <w:p>
            <w:pPr>
              <w:jc w:val="left"/>
            </w:pPr>
            <w:r/>
            <w:r>
              <w:rPr>
                <w:rFonts w:ascii="Arial" w:hAnsi="Arial" w:eastAsia="Arial"/>
                <w:b w:val="0"/>
                <w:i w:val="0"/>
                <w:color w:val="000000"/>
                <w:sz w:val="20"/>
              </w:rPr>
              <w:t>Вага в таблиці супроводжується SourceID, графом або caveat; якщо дані недостатні, сектор отримує діапазон і нижчу впевненість.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Вага не є офіційною статистичною часткою і не повинна переноситися в бюджетний або ВВП-прогноз без окремого розрахунку.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Ваги дозволяють звести різні сигнали у читабельну структуру, але не приховують різну якість даних.</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Сектор / горизонтальний фактор</w:t>
            </w:r>
          </w:p>
        </w:tc>
        <w:tc>
          <w:tcPr>
            <w:tcW w:type="dxa" w:w="1247"/>
          </w:tcPr>
          <w:p>
            <w:pPr>
              <w:jc w:val="left"/>
            </w:pPr>
            <w:r/>
            <w:r>
              <w:rPr>
                <w:rFonts w:ascii="Arial" w:hAnsi="Arial" w:eastAsia="Arial"/>
                <w:b/>
                <w:i w:val="0"/>
                <w:color w:val="000000"/>
                <w:sz w:val="20"/>
              </w:rPr>
              <w:t>Виробнича вага</w:t>
            </w:r>
          </w:p>
        </w:tc>
        <w:tc>
          <w:tcPr>
            <w:tcW w:type="dxa" w:w="1247"/>
          </w:tcPr>
          <w:p>
            <w:pPr>
              <w:jc w:val="left"/>
            </w:pPr>
            <w:r/>
            <w:r>
              <w:rPr>
                <w:rFonts w:ascii="Arial" w:hAnsi="Arial" w:eastAsia="Arial"/>
                <w:b/>
                <w:i w:val="0"/>
                <w:color w:val="000000"/>
                <w:sz w:val="20"/>
              </w:rPr>
              <w:t>Експортна вага</w:t>
            </w:r>
          </w:p>
        </w:tc>
        <w:tc>
          <w:tcPr>
            <w:tcW w:type="dxa" w:w="1247"/>
          </w:tcPr>
          <w:p>
            <w:pPr>
              <w:jc w:val="left"/>
            </w:pPr>
            <w:r/>
            <w:r>
              <w:rPr>
                <w:rFonts w:ascii="Arial" w:hAnsi="Arial" w:eastAsia="Arial"/>
                <w:b/>
                <w:i w:val="0"/>
                <w:color w:val="000000"/>
                <w:sz w:val="20"/>
              </w:rPr>
              <w:t>Зайнятісна вага</w:t>
            </w:r>
          </w:p>
        </w:tc>
        <w:tc>
          <w:tcPr>
            <w:tcW w:type="dxa" w:w="1247"/>
          </w:tcPr>
          <w:p>
            <w:pPr>
              <w:jc w:val="left"/>
            </w:pPr>
            <w:r/>
            <w:r>
              <w:rPr>
                <w:rFonts w:ascii="Arial" w:hAnsi="Arial" w:eastAsia="Arial"/>
                <w:b/>
                <w:i w:val="0"/>
                <w:color w:val="000000"/>
                <w:sz w:val="20"/>
              </w:rPr>
              <w:t>Фіскальна вага</w:t>
            </w:r>
          </w:p>
        </w:tc>
        <w:tc>
          <w:tcPr>
            <w:tcW w:type="dxa" w:w="1247"/>
          </w:tcPr>
          <w:p>
            <w:pPr>
              <w:jc w:val="left"/>
            </w:pPr>
            <w:r/>
            <w:r>
              <w:rPr>
                <w:rFonts w:ascii="Arial" w:hAnsi="Arial" w:eastAsia="Arial"/>
                <w:b/>
                <w:i w:val="0"/>
                <w:color w:val="000000"/>
                <w:sz w:val="20"/>
              </w:rPr>
              <w:t>Логіка ваги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Металургія</w:t>
            </w:r>
          </w:p>
        </w:tc>
        <w:tc>
          <w:tcPr>
            <w:tcW w:type="dxa" w:w="1247"/>
          </w:tcPr>
          <w:p>
            <w:pPr>
              <w:jc w:val="left"/>
            </w:pPr>
            <w:r/>
            <w:r>
              <w:rPr>
                <w:rFonts w:ascii="Arial" w:hAnsi="Arial" w:eastAsia="Arial"/>
                <w:b w:val="0"/>
                <w:i w:val="0"/>
                <w:color w:val="000000"/>
                <w:sz w:val="20"/>
              </w:rPr>
              <w:t>0,15</w:t>
            </w:r>
          </w:p>
        </w:tc>
        <w:tc>
          <w:tcPr>
            <w:tcW w:type="dxa" w:w="1247"/>
          </w:tcPr>
          <w:p>
            <w:pPr>
              <w:jc w:val="left"/>
            </w:pPr>
            <w:r/>
            <w:r>
              <w:rPr>
                <w:rFonts w:ascii="Arial" w:hAnsi="Arial" w:eastAsia="Arial"/>
                <w:b w:val="0"/>
                <w:i w:val="0"/>
                <w:color w:val="000000"/>
                <w:sz w:val="20"/>
              </w:rPr>
              <w:t>0,20</w:t>
            </w:r>
          </w:p>
        </w:tc>
        <w:tc>
          <w:tcPr>
            <w:tcW w:type="dxa" w:w="1247"/>
          </w:tcPr>
          <w:p>
            <w:pPr>
              <w:jc w:val="left"/>
            </w:pPr>
            <w:r/>
            <w:r>
              <w:rPr>
                <w:rFonts w:ascii="Arial" w:hAnsi="Arial" w:eastAsia="Arial"/>
                <w:b w:val="0"/>
                <w:i w:val="0"/>
                <w:color w:val="000000"/>
                <w:sz w:val="20"/>
              </w:rPr>
              <w:t>0,10</w:t>
            </w:r>
          </w:p>
        </w:tc>
        <w:tc>
          <w:tcPr>
            <w:tcW w:type="dxa" w:w="1247"/>
          </w:tcPr>
          <w:p>
            <w:pPr>
              <w:jc w:val="left"/>
            </w:pPr>
            <w:r/>
            <w:r>
              <w:rPr>
                <w:rFonts w:ascii="Arial" w:hAnsi="Arial" w:eastAsia="Arial"/>
                <w:b w:val="0"/>
                <w:i w:val="0"/>
                <w:color w:val="000000"/>
                <w:sz w:val="20"/>
              </w:rPr>
              <w:t>0,14</w:t>
            </w:r>
          </w:p>
        </w:tc>
        <w:tc>
          <w:tcPr>
            <w:tcW w:type="dxa" w:w="1247"/>
          </w:tcPr>
          <w:p>
            <w:pPr>
              <w:jc w:val="left"/>
            </w:pPr>
            <w:r/>
            <w:r>
              <w:rPr>
                <w:rFonts w:ascii="Arial" w:hAnsi="Arial" w:eastAsia="Arial"/>
                <w:b w:val="0"/>
                <w:i w:val="0"/>
                <w:color w:val="000000"/>
                <w:sz w:val="20"/>
              </w:rPr>
              <w:t>Довгі ряди, експортна роль, енергоємність, CBAM, високий мультиплікативний вплив.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Енергетика</w:t>
            </w:r>
          </w:p>
        </w:tc>
        <w:tc>
          <w:tcPr>
            <w:tcW w:type="dxa" w:w="1247"/>
          </w:tcPr>
          <w:p>
            <w:pPr>
              <w:jc w:val="left"/>
            </w:pPr>
            <w:r/>
            <w:r>
              <w:rPr>
                <w:rFonts w:ascii="Arial" w:hAnsi="Arial" w:eastAsia="Arial"/>
                <w:b w:val="0"/>
                <w:i w:val="0"/>
                <w:color w:val="000000"/>
                <w:sz w:val="20"/>
              </w:rPr>
              <w:t>0,18 як коректор</w:t>
            </w:r>
          </w:p>
        </w:tc>
        <w:tc>
          <w:tcPr>
            <w:tcW w:type="dxa" w:w="1247"/>
          </w:tcPr>
          <w:p>
            <w:pPr>
              <w:jc w:val="left"/>
            </w:pPr>
            <w:r/>
            <w:r>
              <w:rPr>
                <w:rFonts w:ascii="Arial" w:hAnsi="Arial" w:eastAsia="Arial"/>
                <w:b w:val="0"/>
                <w:i w:val="0"/>
                <w:color w:val="000000"/>
                <w:sz w:val="20"/>
              </w:rPr>
              <w:t>0,04</w:t>
            </w:r>
          </w:p>
        </w:tc>
        <w:tc>
          <w:tcPr>
            <w:tcW w:type="dxa" w:w="1247"/>
          </w:tcPr>
          <w:p>
            <w:pPr>
              <w:jc w:val="left"/>
            </w:pPr>
            <w:r/>
            <w:r>
              <w:rPr>
                <w:rFonts w:ascii="Arial" w:hAnsi="Arial" w:eastAsia="Arial"/>
                <w:b w:val="0"/>
                <w:i w:val="0"/>
                <w:color w:val="000000"/>
                <w:sz w:val="20"/>
              </w:rPr>
              <w:t>0,08</w:t>
            </w:r>
          </w:p>
        </w:tc>
        <w:tc>
          <w:tcPr>
            <w:tcW w:type="dxa" w:w="1247"/>
          </w:tcPr>
          <w:p>
            <w:pPr>
              <w:jc w:val="left"/>
            </w:pPr>
            <w:r/>
            <w:r>
              <w:rPr>
                <w:rFonts w:ascii="Arial" w:hAnsi="Arial" w:eastAsia="Arial"/>
                <w:b w:val="0"/>
                <w:i w:val="0"/>
                <w:color w:val="000000"/>
                <w:sz w:val="20"/>
              </w:rPr>
              <w:t>0,15</w:t>
            </w:r>
          </w:p>
        </w:tc>
        <w:tc>
          <w:tcPr>
            <w:tcW w:type="dxa" w:w="1247"/>
          </w:tcPr>
          <w:p>
            <w:pPr>
              <w:jc w:val="left"/>
            </w:pPr>
            <w:r/>
            <w:r>
              <w:rPr>
                <w:rFonts w:ascii="Arial" w:hAnsi="Arial" w:eastAsia="Arial"/>
                <w:b w:val="0"/>
                <w:i w:val="0"/>
                <w:color w:val="000000"/>
                <w:sz w:val="20"/>
              </w:rPr>
              <w:t>Не стільки секторний випуск, скільки горизонтальна межа для інших секторів.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Хімічна промисловість</w:t>
            </w:r>
          </w:p>
        </w:tc>
        <w:tc>
          <w:tcPr>
            <w:tcW w:type="dxa" w:w="1247"/>
          </w:tcPr>
          <w:p>
            <w:pPr>
              <w:jc w:val="left"/>
            </w:pPr>
            <w:r/>
            <w:r>
              <w:rPr>
                <w:rFonts w:ascii="Arial" w:hAnsi="Arial" w:eastAsia="Arial"/>
                <w:b w:val="0"/>
                <w:i w:val="0"/>
                <w:color w:val="000000"/>
                <w:sz w:val="20"/>
              </w:rPr>
              <w:t>0,10</w:t>
            </w:r>
          </w:p>
        </w:tc>
        <w:tc>
          <w:tcPr>
            <w:tcW w:type="dxa" w:w="1247"/>
          </w:tcPr>
          <w:p>
            <w:pPr>
              <w:jc w:val="left"/>
            </w:pPr>
            <w:r/>
            <w:r>
              <w:rPr>
                <w:rFonts w:ascii="Arial" w:hAnsi="Arial" w:eastAsia="Arial"/>
                <w:b w:val="0"/>
                <w:i w:val="0"/>
                <w:color w:val="000000"/>
                <w:sz w:val="20"/>
              </w:rPr>
              <w:t>0,09</w:t>
            </w:r>
          </w:p>
        </w:tc>
        <w:tc>
          <w:tcPr>
            <w:tcW w:type="dxa" w:w="1247"/>
          </w:tcPr>
          <w:p>
            <w:pPr>
              <w:jc w:val="left"/>
            </w:pPr>
            <w:r/>
            <w:r>
              <w:rPr>
                <w:rFonts w:ascii="Arial" w:hAnsi="Arial" w:eastAsia="Arial"/>
                <w:b w:val="0"/>
                <w:i w:val="0"/>
                <w:color w:val="000000"/>
                <w:sz w:val="20"/>
              </w:rPr>
              <w:t>0,08</w:t>
            </w:r>
          </w:p>
        </w:tc>
        <w:tc>
          <w:tcPr>
            <w:tcW w:type="dxa" w:w="1247"/>
          </w:tcPr>
          <w:p>
            <w:pPr>
              <w:jc w:val="left"/>
            </w:pPr>
            <w:r/>
            <w:r>
              <w:rPr>
                <w:rFonts w:ascii="Arial" w:hAnsi="Arial" w:eastAsia="Arial"/>
                <w:b w:val="0"/>
                <w:i w:val="0"/>
                <w:color w:val="000000"/>
                <w:sz w:val="20"/>
              </w:rPr>
              <w:t>0,08</w:t>
            </w:r>
          </w:p>
        </w:tc>
        <w:tc>
          <w:tcPr>
            <w:tcW w:type="dxa" w:w="1247"/>
          </w:tcPr>
          <w:p>
            <w:pPr>
              <w:jc w:val="left"/>
            </w:pPr>
            <w:r/>
            <w:r>
              <w:rPr>
                <w:rFonts w:ascii="Arial" w:hAnsi="Arial" w:eastAsia="Arial"/>
                <w:b w:val="0"/>
                <w:i w:val="0"/>
                <w:color w:val="000000"/>
                <w:sz w:val="20"/>
              </w:rPr>
              <w:t>Добрива, базова хімія і фармацевтика мають різні підряди, залежні від газу та енергії.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Машинобудування</w:t>
            </w:r>
          </w:p>
        </w:tc>
        <w:tc>
          <w:tcPr>
            <w:tcW w:type="dxa" w:w="1247"/>
          </w:tcPr>
          <w:p>
            <w:pPr>
              <w:jc w:val="left"/>
            </w:pPr>
            <w:r/>
            <w:r>
              <w:rPr>
                <w:rFonts w:ascii="Arial" w:hAnsi="Arial" w:eastAsia="Arial"/>
                <w:b w:val="0"/>
                <w:i w:val="0"/>
                <w:color w:val="000000"/>
                <w:sz w:val="20"/>
              </w:rPr>
              <w:t>0,12</w:t>
            </w:r>
          </w:p>
        </w:tc>
        <w:tc>
          <w:tcPr>
            <w:tcW w:type="dxa" w:w="1247"/>
          </w:tcPr>
          <w:p>
            <w:pPr>
              <w:jc w:val="left"/>
            </w:pPr>
            <w:r/>
            <w:r>
              <w:rPr>
                <w:rFonts w:ascii="Arial" w:hAnsi="Arial" w:eastAsia="Arial"/>
                <w:b w:val="0"/>
                <w:i w:val="0"/>
                <w:color w:val="000000"/>
                <w:sz w:val="20"/>
              </w:rPr>
              <w:t>0,10</w:t>
            </w:r>
          </w:p>
        </w:tc>
        <w:tc>
          <w:tcPr>
            <w:tcW w:type="dxa" w:w="1247"/>
          </w:tcPr>
          <w:p>
            <w:pPr>
              <w:jc w:val="left"/>
            </w:pPr>
            <w:r/>
            <w:r>
              <w:rPr>
                <w:rFonts w:ascii="Arial" w:hAnsi="Arial" w:eastAsia="Arial"/>
                <w:b w:val="0"/>
                <w:i w:val="0"/>
                <w:color w:val="000000"/>
                <w:sz w:val="20"/>
              </w:rPr>
              <w:t>0,13</w:t>
            </w:r>
          </w:p>
        </w:tc>
        <w:tc>
          <w:tcPr>
            <w:tcW w:type="dxa" w:w="1247"/>
          </w:tcPr>
          <w:p>
            <w:pPr>
              <w:jc w:val="left"/>
            </w:pPr>
            <w:r/>
            <w:r>
              <w:rPr>
                <w:rFonts w:ascii="Arial" w:hAnsi="Arial" w:eastAsia="Arial"/>
                <w:b w:val="0"/>
                <w:i w:val="0"/>
                <w:color w:val="000000"/>
                <w:sz w:val="20"/>
              </w:rPr>
              <w:t>0,12</w:t>
            </w:r>
          </w:p>
        </w:tc>
        <w:tc>
          <w:tcPr>
            <w:tcW w:type="dxa" w:w="1247"/>
          </w:tcPr>
          <w:p>
            <w:pPr>
              <w:jc w:val="left"/>
            </w:pPr>
            <w:r/>
            <w:r>
              <w:rPr>
                <w:rFonts w:ascii="Arial" w:hAnsi="Arial" w:eastAsia="Arial"/>
                <w:b w:val="0"/>
                <w:i w:val="0"/>
                <w:color w:val="000000"/>
                <w:sz w:val="20"/>
              </w:rPr>
              <w:t>Складність, серійність, оборонний попит, цивільні ланцюги компонентів.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Будівництво і матеріали</w:t>
            </w:r>
          </w:p>
        </w:tc>
        <w:tc>
          <w:tcPr>
            <w:tcW w:type="dxa" w:w="1247"/>
          </w:tcPr>
          <w:p>
            <w:pPr>
              <w:jc w:val="left"/>
            </w:pPr>
            <w:r/>
            <w:r>
              <w:rPr>
                <w:rFonts w:ascii="Arial" w:hAnsi="Arial" w:eastAsia="Arial"/>
                <w:b w:val="0"/>
                <w:i w:val="0"/>
                <w:color w:val="000000"/>
                <w:sz w:val="20"/>
              </w:rPr>
              <w:t>0,16</w:t>
            </w:r>
          </w:p>
        </w:tc>
        <w:tc>
          <w:tcPr>
            <w:tcW w:type="dxa" w:w="1247"/>
          </w:tcPr>
          <w:p>
            <w:pPr>
              <w:jc w:val="left"/>
            </w:pPr>
            <w:r/>
            <w:r>
              <w:rPr>
                <w:rFonts w:ascii="Arial" w:hAnsi="Arial" w:eastAsia="Arial"/>
                <w:b w:val="0"/>
                <w:i w:val="0"/>
                <w:color w:val="000000"/>
                <w:sz w:val="20"/>
              </w:rPr>
              <w:t>0,02</w:t>
            </w:r>
          </w:p>
        </w:tc>
        <w:tc>
          <w:tcPr>
            <w:tcW w:type="dxa" w:w="1247"/>
          </w:tcPr>
          <w:p>
            <w:pPr>
              <w:jc w:val="left"/>
            </w:pPr>
            <w:r/>
            <w:r>
              <w:rPr>
                <w:rFonts w:ascii="Arial" w:hAnsi="Arial" w:eastAsia="Arial"/>
                <w:b w:val="0"/>
                <w:i w:val="0"/>
                <w:color w:val="000000"/>
                <w:sz w:val="20"/>
              </w:rPr>
              <w:t>0,17</w:t>
            </w:r>
          </w:p>
        </w:tc>
        <w:tc>
          <w:tcPr>
            <w:tcW w:type="dxa" w:w="1247"/>
          </w:tcPr>
          <w:p>
            <w:pPr>
              <w:jc w:val="left"/>
            </w:pPr>
            <w:r/>
            <w:r>
              <w:rPr>
                <w:rFonts w:ascii="Arial" w:hAnsi="Arial" w:eastAsia="Arial"/>
                <w:b w:val="0"/>
                <w:i w:val="0"/>
                <w:color w:val="000000"/>
                <w:sz w:val="20"/>
              </w:rPr>
              <w:t>0,18</w:t>
            </w:r>
          </w:p>
        </w:tc>
        <w:tc>
          <w:tcPr>
            <w:tcW w:type="dxa" w:w="1247"/>
          </w:tcPr>
          <w:p>
            <w:pPr>
              <w:jc w:val="left"/>
            </w:pPr>
            <w:r/>
            <w:r>
              <w:rPr>
                <w:rFonts w:ascii="Arial" w:hAnsi="Arial" w:eastAsia="Arial"/>
                <w:b w:val="0"/>
                <w:i w:val="0"/>
                <w:color w:val="000000"/>
                <w:sz w:val="20"/>
              </w:rPr>
              <w:t>Внутрішній попит відбудови, локалізація матеріалів, висока зайнятість і ПДВ.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Агропромисловий комплекс</w:t>
            </w:r>
          </w:p>
        </w:tc>
        <w:tc>
          <w:tcPr>
            <w:tcW w:type="dxa" w:w="1247"/>
          </w:tcPr>
          <w:p>
            <w:pPr>
              <w:jc w:val="left"/>
            </w:pPr>
            <w:r/>
            <w:r>
              <w:rPr>
                <w:rFonts w:ascii="Arial" w:hAnsi="Arial" w:eastAsia="Arial"/>
                <w:b w:val="0"/>
                <w:i w:val="0"/>
                <w:color w:val="000000"/>
                <w:sz w:val="20"/>
              </w:rPr>
              <w:t>0,14</w:t>
            </w:r>
          </w:p>
        </w:tc>
        <w:tc>
          <w:tcPr>
            <w:tcW w:type="dxa" w:w="1247"/>
          </w:tcPr>
          <w:p>
            <w:pPr>
              <w:jc w:val="left"/>
            </w:pPr>
            <w:r/>
            <w:r>
              <w:rPr>
                <w:rFonts w:ascii="Arial" w:hAnsi="Arial" w:eastAsia="Arial"/>
                <w:b w:val="0"/>
                <w:i w:val="0"/>
                <w:color w:val="000000"/>
                <w:sz w:val="20"/>
              </w:rPr>
              <w:t>0,30</w:t>
            </w:r>
          </w:p>
        </w:tc>
        <w:tc>
          <w:tcPr>
            <w:tcW w:type="dxa" w:w="1247"/>
          </w:tcPr>
          <w:p>
            <w:pPr>
              <w:jc w:val="left"/>
            </w:pPr>
            <w:r/>
            <w:r>
              <w:rPr>
                <w:rFonts w:ascii="Arial" w:hAnsi="Arial" w:eastAsia="Arial"/>
                <w:b w:val="0"/>
                <w:i w:val="0"/>
                <w:color w:val="000000"/>
                <w:sz w:val="20"/>
              </w:rPr>
              <w:t>0,18</w:t>
            </w:r>
          </w:p>
        </w:tc>
        <w:tc>
          <w:tcPr>
            <w:tcW w:type="dxa" w:w="1247"/>
          </w:tcPr>
          <w:p>
            <w:pPr>
              <w:jc w:val="left"/>
            </w:pPr>
            <w:r/>
            <w:r>
              <w:rPr>
                <w:rFonts w:ascii="Arial" w:hAnsi="Arial" w:eastAsia="Arial"/>
                <w:b w:val="0"/>
                <w:i w:val="0"/>
                <w:color w:val="000000"/>
                <w:sz w:val="20"/>
              </w:rPr>
              <w:t>0,17</w:t>
            </w:r>
          </w:p>
        </w:tc>
        <w:tc>
          <w:tcPr>
            <w:tcW w:type="dxa" w:w="1247"/>
          </w:tcPr>
          <w:p>
            <w:pPr>
              <w:jc w:val="left"/>
            </w:pPr>
            <w:r/>
            <w:r>
              <w:rPr>
                <w:rFonts w:ascii="Arial" w:hAnsi="Arial" w:eastAsia="Arial"/>
                <w:b w:val="0"/>
                <w:i w:val="0"/>
                <w:color w:val="000000"/>
                <w:sz w:val="20"/>
              </w:rPr>
              <w:t>Валютна опора, податкова роль, переробка, логістика, добрива та харчова промисловість.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Людський капітал</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основний канал</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Обмежує темп реалізації виробництва, будівництва, логістики та інженерних програм.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Логістика та інфраструктура</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Визначає доступ до портів, кордонів, складів, залізниці та внутрішніх маршрутів.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Фінанси та ризик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множник</w:t>
            </w:r>
          </w:p>
        </w:tc>
        <w:tc>
          <w:tcPr>
            <w:tcW w:type="dxa" w:w="1247"/>
          </w:tcPr>
          <w:p>
            <w:pPr>
              <w:jc w:val="left"/>
            </w:pPr>
            <w:r/>
            <w:r>
              <w:rPr>
                <w:rFonts w:ascii="Arial" w:hAnsi="Arial" w:eastAsia="Arial"/>
                <w:b w:val="0"/>
                <w:i w:val="0"/>
                <w:color w:val="000000"/>
                <w:sz w:val="20"/>
              </w:rPr>
              <w:t>Визначає вартість капіталу, страхування ризиків, інвестиційну готовність і горизонт окупності.</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Методична примітка: ваги є публічним методичним інструментом V1, а не офіційними частками секторів у національних рахунках. [1]</w:t>
      </w:r>
    </w:p>
    <w:p>
      <w:pPr>
        <w:pStyle w:val="Heading1"/>
      </w:pPr>
      <w:r>
        <w:rPr>
          <w:rFonts w:ascii="Arial" w:hAnsi="Arial" w:eastAsia="Arial"/>
          <w:b/>
          <w:i w:val="0"/>
          <w:color w:val="000000"/>
          <w:sz w:val="44"/>
        </w:rPr>
        <w:t>Практична інтерпретація ваг у чотирьох каналах</w:t>
      </w:r>
    </w:p>
    <w:p>
      <w:pPr>
        <w:jc w:val="both"/>
      </w:pPr>
      <w:r>
        <w:rPr>
          <w:rFonts w:ascii="Arial" w:hAnsi="Arial" w:eastAsia="Arial"/>
          <w:b w:val="0"/>
          <w:i w:val="0"/>
          <w:color w:val="000000"/>
          <w:sz w:val="24"/>
        </w:rPr>
        <w:t>Металургія має високу аналітичну вагу через довгі ряди, експортну роль і зв’язок із транспортом, будівництвом та машинобудуванням. [1] Водночас її поточний індекс нижчий через втрату активів, енергетичний тиск і логістичні обмеження. V1 може одночасно визнати системну роль металургії і не завищувати її виробничу траєкторію до 2030 року.</w:t>
      </w:r>
    </w:p>
    <w:p>
      <w:pPr>
        <w:jc w:val="both"/>
      </w:pPr>
      <w:r>
        <w:rPr>
          <w:rFonts w:ascii="Arial" w:hAnsi="Arial" w:eastAsia="Arial"/>
          <w:b w:val="0"/>
          <w:i w:val="0"/>
          <w:color w:val="000000"/>
          <w:sz w:val="24"/>
        </w:rPr>
        <w:t>Енергетика у виробничому каналі не читається так само, як металургія або будівництво. [1] Через це енергетика отримує статус коректора. Якщо енергетична доступність погіршується, V1 знижує реалізованість інших виробничих траєкторій навіть тоді, коли у цих секторів є попит і активи.</w:t>
      </w:r>
    </w:p>
    <w:p>
      <w:pPr>
        <w:jc w:val="both"/>
      </w:pPr>
      <w:r>
        <w:rPr>
          <w:rFonts w:ascii="Arial" w:hAnsi="Arial" w:eastAsia="Arial"/>
          <w:b w:val="0"/>
          <w:i w:val="0"/>
          <w:color w:val="000000"/>
          <w:sz w:val="24"/>
        </w:rPr>
        <w:t>У будівництві виробнича вага не може будуватися лише на масштабі потреб. [1] Потреби відбудови задають горизонт попиту, але виробничий результат виникає тільки там, де є проєктна документація, матеріали, дозволи, підрядники, фінансування, праця, енергопостачання і логістика. Тому будівництво в V1 має високу вагу у внутрішньому попиті та зайнятості, але його виробничий коридор залишається обережним, якщо портфель проєктів і матеріальна база не розгорнуті.</w:t>
      </w:r>
    </w:p>
    <w:p>
      <w:pPr>
        <w:jc w:val="both"/>
      </w:pPr>
      <w:r>
        <w:rPr>
          <w:rFonts w:ascii="Arial" w:hAnsi="Arial" w:eastAsia="Arial"/>
          <w:b w:val="0"/>
          <w:i w:val="0"/>
          <w:color w:val="000000"/>
          <w:sz w:val="24"/>
        </w:rPr>
        <w:t>В агропромисловому комплексі виробничий канал має два рівні: [1] базове сільське господарство, яке підтримує продовольчу, валютну і частково фіскальну стійкість; переробка, зберігання, пакування, холодна логістика, біоенергетика, добрива, машинобудівні сервіси й контроль якості.</w:t>
      </w:r>
    </w:p>
    <w:p>
      <w:pPr>
        <w:jc w:val="both"/>
      </w:pPr>
      <w:r>
        <w:rPr>
          <w:rFonts w:ascii="Arial" w:hAnsi="Arial" w:eastAsia="Arial"/>
          <w:b w:val="0"/>
          <w:i w:val="0"/>
          <w:color w:val="000000"/>
          <w:sz w:val="24"/>
        </w:rPr>
        <w:t>В експортному каналі ваги змінюються. [1] Агропромисловий комплекс отримує найбільшу експортну вагу, тому що він тримає значну частину валютної виручки і пов’язаний із продовольчими ринками. Металургія зберігає високу вагу, але має більшу залежність від портів, енергії, CBAM і світових цін. Машинобудування має меншу масу, але його експортна якість вища через складність продукції. Хімія стоїть між внутрішнім аграрним попитом і зовнішніми нішами.</w:t>
      </w:r>
    </w:p>
    <w:p>
      <w:pPr>
        <w:jc w:val="both"/>
      </w:pPr>
      <w:r>
        <w:rPr>
          <w:rFonts w:ascii="Arial" w:hAnsi="Arial" w:eastAsia="Arial"/>
          <w:b w:val="0"/>
          <w:i w:val="0"/>
          <w:color w:val="000000"/>
          <w:sz w:val="24"/>
        </w:rPr>
        <w:t>Експортна вага також залежить від того, чи може сектор перейти від обсягу до якості. [1] Дешева або напівсировинна виручка може підтримувати валютний баланс, але не створює такої самої фіскальної й технологічної глибини, як складна продукція. Тому V1 розрізняє експортну масу і експортну якість. Це особливо важливо для машинобудування, агропереробки, низьковуглецевої металургії та хімічних ніш.</w:t>
      </w:r>
    </w:p>
    <w:p>
      <w:pPr>
        <w:jc w:val="both"/>
      </w:pPr>
      <w:r>
        <w:rPr>
          <w:rFonts w:ascii="Arial" w:hAnsi="Arial" w:eastAsia="Arial"/>
          <w:b w:val="0"/>
          <w:i w:val="0"/>
          <w:color w:val="000000"/>
          <w:sz w:val="24"/>
        </w:rPr>
        <w:t>У зайнятісному каналі сектор може отримувати високу вагу навіть тоді, коли його експортна роль невелика. [1] Будівництво є прикладом: воно переважно внутрішнє, але потребує великої кількості працівників і запускає суміжні ланцюги матеріалів, транспорту, проєктування і місцевих сервісів. Навпаки, сектор із високою капіталомісткістю може давати великий випуск при меншій прямій зайнятості, але через постачальників і сервіс створювати значний непрямий ефект.</w:t>
      </w:r>
    </w:p>
    <w:p>
      <w:pPr>
        <w:jc w:val="both"/>
      </w:pPr>
      <w:r>
        <w:rPr>
          <w:rFonts w:ascii="Arial" w:hAnsi="Arial" w:eastAsia="Arial"/>
          <w:b w:val="0"/>
          <w:i w:val="0"/>
          <w:color w:val="000000"/>
          <w:sz w:val="24"/>
        </w:rPr>
        <w:t>Зайнятісні ваги також показують, чому “наявність населення” не дорівнює “наявність праці”. [1] Робоча сила має професійну структуру, регіон, доступність, здоров’я, сімейні умови, мобільність, мотивацію і очікувану зарплату. Якщо працівник перебуває у країні, але не може переїхати до промислового центру або не має потрібної кваліфікації, він не закриває виробничий дефіцит.</w:t>
      </w:r>
    </w:p>
    <w:p>
      <w:pPr>
        <w:jc w:val="both"/>
      </w:pPr>
      <w:r>
        <w:rPr>
          <w:rFonts w:ascii="Arial" w:hAnsi="Arial" w:eastAsia="Arial"/>
          <w:b w:val="0"/>
          <w:i w:val="0"/>
          <w:color w:val="000000"/>
          <w:sz w:val="24"/>
        </w:rPr>
        <w:t>У фіскальному каналі вага сектору залежить від того, як він перетворює виробництво на податки. [1] Високий фізичний випуск із низькою маржею і високою імпортною складовою може дати слабший бюджетний ефект, ніж менший, але складніший сектор із вищою зарплатою, прибутком і локалізацією. машинобудування і хімія мають фіскальну роль, яка не зводиться до нинішнього обсягу виробництва.</w:t>
      </w:r>
    </w:p>
    <w:p>
      <w:pPr>
        <w:jc w:val="both"/>
      </w:pPr>
      <w:r>
        <w:rPr>
          <w:rFonts w:ascii="Arial" w:hAnsi="Arial" w:eastAsia="Arial"/>
          <w:b w:val="0"/>
          <w:i w:val="0"/>
          <w:color w:val="000000"/>
          <w:sz w:val="24"/>
        </w:rPr>
        <w:t>Фіскальний канал також відділяє податкову базу від бюджетного балансу. [1] V1 може показати, що сектор здатний розширити ПДВ, ПДФО, ЄСВ або податок на прибуток, але не рахує, як це змінить дефіцит, борг або зовнішню потребу фінансування.</w:t>
      </w:r>
    </w:p>
    <w:p>
      <w:pPr>
        <w:pStyle w:val="Heading1"/>
      </w:pPr>
      <w:r>
        <w:rPr>
          <w:rFonts w:ascii="Arial" w:hAnsi="Arial" w:eastAsia="Arial"/>
          <w:b/>
          <w:i w:val="0"/>
          <w:color w:val="000000"/>
          <w:sz w:val="44"/>
        </w:rPr>
        <w:t>Як індекси переходять у управлінські рішення</w:t>
      </w:r>
    </w:p>
    <w:p>
      <w:pPr>
        <w:jc w:val="both"/>
      </w:pPr>
      <w:r>
        <w:rPr>
          <w:rFonts w:ascii="Arial" w:hAnsi="Arial" w:eastAsia="Arial"/>
          <w:b w:val="0"/>
          <w:i w:val="0"/>
          <w:color w:val="000000"/>
          <w:sz w:val="24"/>
        </w:rPr>
        <w:t>Коли виробничий індекс сектору низький, перша управлінська відповідь залежить від причини. [1] Якщо низький індекс спричинений фізичною втратою активів, потрібні інвестиції, заміна потужностей і технологічна перебудова. Якщо причиною є енергетичний дефіцит, потрібні захист генерації, імпортна спроможність, розподілена генерація і тарифна передбачуваність. Якщо причиною є попит, потрібні закупівлі, відбудовчі програми або експортні ринки. Один і той самий індекс не означає однакову політику.</w:t>
      </w:r>
    </w:p>
    <w:p>
      <w:pPr>
        <w:jc w:val="both"/>
      </w:pPr>
      <w:r>
        <w:rPr>
          <w:rFonts w:ascii="Arial" w:hAnsi="Arial" w:eastAsia="Arial"/>
          <w:b w:val="0"/>
          <w:i w:val="0"/>
          <w:color w:val="000000"/>
          <w:sz w:val="24"/>
        </w:rPr>
        <w:t>Коли експортний індекс відстає від виробничого, показує, що сектор може виробляти більше, ніж здатен продати за межами країни. [1] Причина може бути у логістиці, сертифікації, вартості капіталу, товарній структурі, страхуванні або зовнішніх стандартах. Для металургії це може бути порт і CBAM; для АПК - порт, зберігання і переробка; для машинобудування - стандарти, серійність і компоненти; для хімії - енергія, газ і цінова конкурентність.</w:t>
      </w:r>
    </w:p>
    <w:p>
      <w:pPr>
        <w:jc w:val="both"/>
      </w:pPr>
      <w:r>
        <w:rPr>
          <w:rFonts w:ascii="Arial" w:hAnsi="Arial" w:eastAsia="Arial"/>
          <w:b w:val="0"/>
          <w:i w:val="0"/>
          <w:color w:val="000000"/>
          <w:sz w:val="24"/>
        </w:rPr>
        <w:t>Коли зайнятісний індекс відстає від виробничого, показує, що економіка має обладнання або попит, але не має достатньої кількості людей для реалізації. [1] У такому випадку рішення не обмежуються промисловою політикою. Потрібні житло, транспортна доступність, професійна освіта, повернення людей, інтеграція ВПО, догляд за дітьми, реабілітація ветеранів і прогнозований попит на професії.</w:t>
      </w:r>
    </w:p>
    <w:p>
      <w:pPr>
        <w:jc w:val="both"/>
      </w:pPr>
      <w:r>
        <w:rPr>
          <w:rFonts w:ascii="Arial" w:hAnsi="Arial" w:eastAsia="Arial"/>
          <w:b w:val="0"/>
          <w:i w:val="0"/>
          <w:color w:val="000000"/>
          <w:sz w:val="24"/>
        </w:rPr>
        <w:t>Коли фіскальний індекс відстає від виробничого, показує, що випуск не конвертується у достатній бюджетний ресурс. [1] Причини можуть бути у низькій маржі, імпортній складовій, тінізації, слабкій локалізації, податкових пільгах без виробничого ефекту або низькій зарплатній базі.</w:t>
      </w:r>
    </w:p>
    <w:p>
      <w:pPr>
        <w:jc w:val="both"/>
      </w:pPr>
      <w:r>
        <w:rPr>
          <w:rFonts w:ascii="Arial" w:hAnsi="Arial" w:eastAsia="Arial"/>
          <w:b w:val="0"/>
          <w:i w:val="0"/>
          <w:color w:val="000000"/>
          <w:sz w:val="24"/>
        </w:rPr>
        <w:t>Коли всі чотири індекси рухаються разом, секторна траєкторія стає сильнішою. [1] Виробництво створює товар або послугу, експорт або внутрішній попит створюють виручку, зайнятість створює виконання і зарплати, а фіскальна база повертає частину результату в бюджет. Саме така синхронність є бажаним результатом реіндустріалізації у цьому блоці. Якщо хоча б один канал системно відстає, документ показує, де потрібен запобіжник.</w:t>
      </w:r>
    </w:p>
    <w:p>
      <w:pPr>
        <w:pStyle w:val="Heading1"/>
      </w:pPr>
      <w:r>
        <w:rPr>
          <w:rFonts w:ascii="Arial" w:hAnsi="Arial" w:eastAsia="Arial"/>
          <w:b/>
          <w:i w:val="0"/>
          <w:color w:val="000000"/>
          <w:sz w:val="44"/>
        </w:rPr>
        <w:t>Агрегація як дисципліна публічної довіри</w:t>
      </w:r>
    </w:p>
    <w:p>
      <w:pPr>
        <w:jc w:val="both"/>
      </w:pPr>
      <w:r>
        <w:rPr>
          <w:rFonts w:ascii="Arial" w:hAnsi="Arial" w:eastAsia="Arial"/>
          <w:b w:val="0"/>
          <w:i w:val="0"/>
          <w:color w:val="000000"/>
          <w:sz w:val="24"/>
        </w:rPr>
        <w:t>Така дисципліна особливо важлива для секторної агрегації, тому що саме тут найпростіше зробити сильну, але неперевірну фразу. [1] Наприклад, “промисловість відновиться” звучить зрозуміло, але не показує, що саме відновиться: випуск, експорт, зайнятість, податки чи інвестиції. V1 замінює такі загальні формули на таблиці каналів. Це робить текст менш декларативним і більш придатним для перевірки.</w:t>
      </w:r>
    </w:p>
    <w:p>
      <w:pPr>
        <w:jc w:val="both"/>
      </w:pPr>
      <w:r>
        <w:rPr>
          <w:rFonts w:ascii="Arial" w:hAnsi="Arial" w:eastAsia="Arial"/>
          <w:b w:val="0"/>
          <w:i w:val="0"/>
          <w:color w:val="000000"/>
          <w:sz w:val="24"/>
        </w:rPr>
        <w:t>V1 також залишає місце для майбутнього оновлення. [1] Коли дані за 2026 рік стануть повнішими, оновлення може торкнутися лише конкретного сектору або каналу. Якщо зміниться електроенергетична ситуація, буде оновлено енергетичний коректор і пов’язані виробничі caveat. Якщо зміниться портова логістика, буде оновлено експортний канал. Якщо зміниться ситуація з поверненням біженців, буде оновлено кадровий індекс. Це зберігає документ живим, але контрольованим.</w:t>
      </w:r>
    </w:p>
    <w:p>
      <w:pPr>
        <w:pStyle w:val="Heading1"/>
      </w:pPr>
      <w:r>
        <w:rPr>
          <w:rFonts w:ascii="Arial" w:hAnsi="Arial" w:eastAsia="Arial"/>
          <w:b/>
          <w:i w:val="0"/>
          <w:color w:val="000000"/>
          <w:sz w:val="44"/>
        </w:rPr>
        <w:t>Зведені виробничі траєкторії</w:t>
      </w:r>
    </w:p>
    <w:p>
      <w:pPr>
        <w:jc w:val="both"/>
      </w:pPr>
      <w:r>
        <w:rPr>
          <w:rFonts w:ascii="Arial" w:hAnsi="Arial" w:eastAsia="Arial"/>
          <w:b w:val="0"/>
          <w:i w:val="0"/>
          <w:color w:val="000000"/>
          <w:sz w:val="24"/>
        </w:rPr>
        <w:t>Це важливо, тому що тонна сталі, мегават-година електроенергії, тонна добрив, будівельні роботи, машинобудівний виріб і тонна аграрної переробки не є фізично сумірними. [1] V1 порівнює їх із власною довоєнною або останньою стабільною базою, після чого показує діапазони до 2030 і 2035 року.</w:t>
      </w:r>
    </w:p>
    <w:p>
      <w:pPr>
        <w:jc w:val="both"/>
      </w:pPr>
      <w:r>
        <w:rPr>
          <w:rFonts w:ascii="Arial" w:hAnsi="Arial" w:eastAsia="Arial"/>
          <w:b w:val="0"/>
          <w:i w:val="0"/>
          <w:color w:val="000000"/>
          <w:sz w:val="24"/>
        </w:rPr>
        <w:t>У виробничому каналі найкраще вимірюються металургія, енергетика, будівництво і частина агропромислового комплексу. [1] Тому таблиця подає індексні коридори, а не один “точний” прогноз.</w:t>
      </w:r>
    </w:p>
    <w:tbl>
      <w:tblPr>
        <w:tblStyle w:val="TableGrid"/>
        <w:tblW w:type="auto" w:w="0"/>
        <w:jc w:val="left"/>
        <w:tblLayout w:type="fixed"/>
        <w:tblLook w:firstColumn="1" w:firstRow="1" w:lastColumn="0" w:lastRow="0" w:noHBand="0" w:noVBand="1" w:val="04A0"/>
      </w:tblPr>
      <w:tblGrid>
        <w:gridCol w:w="1083"/>
        <w:gridCol w:w="1083"/>
        <w:gridCol w:w="1083"/>
        <w:gridCol w:w="1083"/>
        <w:gridCol w:w="1083"/>
        <w:gridCol w:w="1083"/>
        <w:gridCol w:w="1083"/>
        <w:gridCol w:w="1083"/>
        <w:gridCol w:w="1083"/>
      </w:tblGrid>
      <w:tr>
        <w:tc>
          <w:tcPr>
            <w:tcW w:type="dxa" w:w="2041"/>
          </w:tcPr>
          <w:p>
            <w:pPr>
              <w:jc w:val="left"/>
            </w:pPr>
            <w:r/>
            <w:r>
              <w:rPr>
                <w:rFonts w:ascii="Arial" w:hAnsi="Arial" w:eastAsia="Arial"/>
                <w:b/>
                <w:i w:val="0"/>
                <w:color w:val="000000"/>
                <w:sz w:val="20"/>
              </w:rPr>
              <w:t>Сектор</w:t>
            </w:r>
          </w:p>
        </w:tc>
        <w:tc>
          <w:tcPr>
            <w:tcW w:type="dxa" w:w="1247"/>
          </w:tcPr>
          <w:p>
            <w:pPr>
              <w:jc w:val="left"/>
            </w:pPr>
            <w:r/>
            <w:r>
              <w:rPr>
                <w:rFonts w:ascii="Arial" w:hAnsi="Arial" w:eastAsia="Arial"/>
                <w:b/>
                <w:i w:val="0"/>
                <w:color w:val="000000"/>
                <w:sz w:val="20"/>
              </w:rPr>
              <w:t>База 2021 = 100</w:t>
            </w:r>
          </w:p>
        </w:tc>
        <w:tc>
          <w:tcPr>
            <w:tcW w:type="dxa" w:w="1247"/>
          </w:tcPr>
          <w:p>
            <w:pPr>
              <w:jc w:val="left"/>
            </w:pPr>
            <w:r/>
            <w:r>
              <w:rPr>
                <w:rFonts w:ascii="Arial" w:hAnsi="Arial" w:eastAsia="Arial"/>
                <w:b/>
                <w:i w:val="0"/>
                <w:color w:val="000000"/>
                <w:sz w:val="20"/>
              </w:rPr>
              <w:t>Оцінка 2025</w:t>
            </w:r>
          </w:p>
        </w:tc>
        <w:tc>
          <w:tcPr>
            <w:tcW w:type="dxa" w:w="1247"/>
          </w:tcPr>
          <w:p>
            <w:pPr>
              <w:jc w:val="left"/>
            </w:pPr>
            <w:r/>
            <w:r>
              <w:rPr>
                <w:rFonts w:ascii="Arial" w:hAnsi="Arial" w:eastAsia="Arial"/>
                <w:b/>
                <w:i w:val="0"/>
                <w:color w:val="000000"/>
                <w:sz w:val="20"/>
              </w:rPr>
              <w:t>Інерційний 2030</w:t>
            </w:r>
          </w:p>
        </w:tc>
        <w:tc>
          <w:tcPr>
            <w:tcW w:type="dxa" w:w="1247"/>
          </w:tcPr>
          <w:p>
            <w:pPr>
              <w:jc w:val="left"/>
            </w:pPr>
            <w:r/>
            <w:r>
              <w:rPr>
                <w:rFonts w:ascii="Arial" w:hAnsi="Arial" w:eastAsia="Arial"/>
                <w:b/>
                <w:i w:val="0"/>
                <w:color w:val="000000"/>
                <w:sz w:val="20"/>
              </w:rPr>
              <w:t>Кероване відновлення 2030</w:t>
            </w:r>
          </w:p>
        </w:tc>
        <w:tc>
          <w:tcPr>
            <w:tcW w:type="dxa" w:w="1247"/>
          </w:tcPr>
          <w:p>
            <w:pPr>
              <w:jc w:val="left"/>
            </w:pPr>
            <w:r/>
            <w:r>
              <w:rPr>
                <w:rFonts w:ascii="Arial" w:hAnsi="Arial" w:eastAsia="Arial"/>
                <w:b/>
                <w:i w:val="0"/>
                <w:color w:val="000000"/>
                <w:sz w:val="20"/>
              </w:rPr>
              <w:t>Трансформаційний 2035</w:t>
            </w:r>
          </w:p>
        </w:tc>
        <w:tc>
          <w:tcPr>
            <w:tcW w:type="dxa" w:w="1247"/>
          </w:tcPr>
          <w:p>
            <w:pPr>
              <w:jc w:val="left"/>
            </w:pPr>
            <w:r/>
            <w:r>
              <w:rPr>
                <w:rFonts w:ascii="Arial" w:hAnsi="Arial" w:eastAsia="Arial"/>
                <w:b/>
                <w:i w:val="0"/>
                <w:color w:val="000000"/>
                <w:sz w:val="20"/>
              </w:rPr>
              <w:t>Графи / джерела</w:t>
            </w:r>
          </w:p>
        </w:tc>
        <w:tc>
          <w:tcPr>
            <w:tcW w:type="dxa" w:w="1247"/>
          </w:tcPr>
          <w:p>
            <w:pPr>
              <w:jc w:val="left"/>
            </w:pPr>
            <w:r/>
            <w:r>
              <w:rPr>
                <w:rFonts w:ascii="Arial" w:hAnsi="Arial" w:eastAsia="Arial"/>
                <w:b/>
                <w:i w:val="0"/>
                <w:color w:val="000000"/>
                <w:sz w:val="20"/>
              </w:rPr>
              <w:t>Застереження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Металургія</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35-45</w:t>
            </w:r>
          </w:p>
        </w:tc>
        <w:tc>
          <w:tcPr>
            <w:tcW w:type="dxa" w:w="1247"/>
          </w:tcPr>
          <w:p>
            <w:pPr>
              <w:jc w:val="left"/>
            </w:pPr>
            <w:r/>
            <w:r>
              <w:rPr>
                <w:rFonts w:ascii="Arial" w:hAnsi="Arial" w:eastAsia="Arial"/>
                <w:b w:val="0"/>
                <w:i w:val="0"/>
                <w:color w:val="000000"/>
                <w:sz w:val="20"/>
              </w:rPr>
              <w:t>45-55</w:t>
            </w:r>
          </w:p>
        </w:tc>
        <w:tc>
          <w:tcPr>
            <w:tcW w:type="dxa" w:w="1247"/>
          </w:tcPr>
          <w:p>
            <w:pPr>
              <w:jc w:val="left"/>
            </w:pPr>
            <w:r/>
            <w:r>
              <w:rPr>
                <w:rFonts w:ascii="Arial" w:hAnsi="Arial" w:eastAsia="Arial"/>
                <w:b w:val="0"/>
                <w:i w:val="0"/>
                <w:color w:val="000000"/>
                <w:sz w:val="20"/>
              </w:rPr>
              <w:t>60-75</w:t>
            </w:r>
          </w:p>
        </w:tc>
        <w:tc>
          <w:tcPr>
            <w:tcW w:type="dxa" w:w="1247"/>
          </w:tcPr>
          <w:p>
            <w:pPr>
              <w:jc w:val="left"/>
            </w:pPr>
            <w:r/>
            <w:r>
              <w:rPr>
                <w:rFonts w:ascii="Arial" w:hAnsi="Arial" w:eastAsia="Arial"/>
                <w:b w:val="0"/>
                <w:i w:val="0"/>
                <w:color w:val="000000"/>
                <w:sz w:val="20"/>
              </w:rPr>
              <w:t>80-100</w:t>
            </w:r>
          </w:p>
        </w:tc>
        <w:tc>
          <w:tcPr>
            <w:tcW w:type="dxa" w:w="1247"/>
          </w:tcPr>
          <w:p>
            <w:pPr>
              <w:jc w:val="left"/>
            </w:pPr>
            <w:r/>
            <w:r>
              <w:rPr>
                <w:rFonts w:ascii="Arial" w:hAnsi="Arial" w:eastAsia="Arial"/>
                <w:b w:val="0"/>
                <w:i w:val="0"/>
                <w:color w:val="000000"/>
                <w:sz w:val="20"/>
              </w:rPr>
              <w:t>A1-G02, A1-G03: GMK Center; worldsteel; GMK Center</w:t>
            </w:r>
          </w:p>
        </w:tc>
        <w:tc>
          <w:tcPr>
            <w:tcW w:type="dxa" w:w="1247"/>
          </w:tcPr>
          <w:p>
            <w:pPr>
              <w:jc w:val="left"/>
            </w:pPr>
            <w:r/>
            <w:r>
              <w:rPr>
                <w:rFonts w:ascii="Arial" w:hAnsi="Arial" w:eastAsia="Arial"/>
                <w:b w:val="0"/>
                <w:i w:val="0"/>
                <w:color w:val="000000"/>
                <w:sz w:val="20"/>
              </w:rPr>
              <w:t>Залежить від енергії, портів, CBAM і доступу до капіталу.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Енергетична доступність для промисловості</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65-75</w:t>
            </w:r>
          </w:p>
        </w:tc>
        <w:tc>
          <w:tcPr>
            <w:tcW w:type="dxa" w:w="1247"/>
          </w:tcPr>
          <w:p>
            <w:pPr>
              <w:jc w:val="left"/>
            </w:pPr>
            <w:r/>
            <w:r>
              <w:rPr>
                <w:rFonts w:ascii="Arial" w:hAnsi="Arial" w:eastAsia="Arial"/>
                <w:b w:val="0"/>
                <w:i w:val="0"/>
                <w:color w:val="000000"/>
                <w:sz w:val="20"/>
              </w:rPr>
              <w:t>75-85</w:t>
            </w:r>
          </w:p>
        </w:tc>
        <w:tc>
          <w:tcPr>
            <w:tcW w:type="dxa" w:w="1247"/>
          </w:tcPr>
          <w:p>
            <w:pPr>
              <w:jc w:val="left"/>
            </w:pPr>
            <w:r/>
            <w:r>
              <w:rPr>
                <w:rFonts w:ascii="Arial" w:hAnsi="Arial" w:eastAsia="Arial"/>
                <w:b w:val="0"/>
                <w:i w:val="0"/>
                <w:color w:val="000000"/>
                <w:sz w:val="20"/>
              </w:rPr>
              <w:t>85-95</w:t>
            </w:r>
          </w:p>
        </w:tc>
        <w:tc>
          <w:tcPr>
            <w:tcW w:type="dxa" w:w="1247"/>
          </w:tcPr>
          <w:p>
            <w:pPr>
              <w:jc w:val="left"/>
            </w:pPr>
            <w:r/>
            <w:r>
              <w:rPr>
                <w:rFonts w:ascii="Arial" w:hAnsi="Arial" w:eastAsia="Arial"/>
                <w:b w:val="0"/>
                <w:i w:val="0"/>
                <w:color w:val="000000"/>
                <w:sz w:val="20"/>
              </w:rPr>
              <w:t>95-105</w:t>
            </w:r>
          </w:p>
        </w:tc>
        <w:tc>
          <w:tcPr>
            <w:tcW w:type="dxa" w:w="1247"/>
          </w:tcPr>
          <w:p>
            <w:pPr>
              <w:jc w:val="left"/>
            </w:pPr>
            <w:r/>
            <w:r>
              <w:rPr>
                <w:rFonts w:ascii="Arial" w:hAnsi="Arial" w:eastAsia="Arial"/>
                <w:b w:val="0"/>
                <w:i w:val="0"/>
                <w:color w:val="000000"/>
                <w:sz w:val="20"/>
              </w:rPr>
              <w:t>A2-G01, A2-G04: NV; IEA; Reuters; NPC Ukrenergo</w:t>
            </w:r>
          </w:p>
        </w:tc>
        <w:tc>
          <w:tcPr>
            <w:tcW w:type="dxa" w:w="1247"/>
          </w:tcPr>
          <w:p>
            <w:pPr>
              <w:jc w:val="left"/>
            </w:pPr>
            <w:r/>
            <w:r>
              <w:rPr>
                <w:rFonts w:ascii="Arial" w:hAnsi="Arial" w:eastAsia="Arial"/>
                <w:b w:val="0"/>
                <w:i w:val="0"/>
                <w:color w:val="000000"/>
                <w:sz w:val="20"/>
              </w:rPr>
              <w:t>Це коректор виробництва, а не простий секторний випуск.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Хімічна промисловість</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35-50</w:t>
            </w:r>
          </w:p>
        </w:tc>
        <w:tc>
          <w:tcPr>
            <w:tcW w:type="dxa" w:w="1247"/>
          </w:tcPr>
          <w:p>
            <w:pPr>
              <w:jc w:val="left"/>
            </w:pPr>
            <w:r/>
            <w:r>
              <w:rPr>
                <w:rFonts w:ascii="Arial" w:hAnsi="Arial" w:eastAsia="Arial"/>
                <w:b w:val="0"/>
                <w:i w:val="0"/>
                <w:color w:val="000000"/>
                <w:sz w:val="20"/>
              </w:rPr>
              <w:t>45-60</w:t>
            </w:r>
          </w:p>
        </w:tc>
        <w:tc>
          <w:tcPr>
            <w:tcW w:type="dxa" w:w="1247"/>
          </w:tcPr>
          <w:p>
            <w:pPr>
              <w:jc w:val="left"/>
            </w:pPr>
            <w:r/>
            <w:r>
              <w:rPr>
                <w:rFonts w:ascii="Arial" w:hAnsi="Arial" w:eastAsia="Arial"/>
                <w:b w:val="0"/>
                <w:i w:val="0"/>
                <w:color w:val="000000"/>
                <w:sz w:val="20"/>
              </w:rPr>
              <w:t>60-75</w:t>
            </w:r>
          </w:p>
        </w:tc>
        <w:tc>
          <w:tcPr>
            <w:tcW w:type="dxa" w:w="1247"/>
          </w:tcPr>
          <w:p>
            <w:pPr>
              <w:jc w:val="left"/>
            </w:pPr>
            <w:r/>
            <w:r>
              <w:rPr>
                <w:rFonts w:ascii="Arial" w:hAnsi="Arial" w:eastAsia="Arial"/>
                <w:b w:val="0"/>
                <w:i w:val="0"/>
                <w:color w:val="000000"/>
                <w:sz w:val="20"/>
              </w:rPr>
              <w:t>80-95</w:t>
            </w:r>
          </w:p>
        </w:tc>
        <w:tc>
          <w:tcPr>
            <w:tcW w:type="dxa" w:w="1247"/>
          </w:tcPr>
          <w:p>
            <w:pPr>
              <w:jc w:val="left"/>
            </w:pPr>
            <w:r/>
            <w:r>
              <w:rPr>
                <w:rFonts w:ascii="Arial" w:hAnsi="Arial" w:eastAsia="Arial"/>
                <w:b w:val="0"/>
                <w:i w:val="0"/>
                <w:color w:val="000000"/>
                <w:sz w:val="20"/>
              </w:rPr>
              <w:t>A3-G06: gmk.center; chemistryworld.com; gmk.center</w:t>
            </w:r>
          </w:p>
        </w:tc>
        <w:tc>
          <w:tcPr>
            <w:tcW w:type="dxa" w:w="1247"/>
          </w:tcPr>
          <w:p>
            <w:pPr>
              <w:jc w:val="left"/>
            </w:pPr>
            <w:r/>
            <w:r>
              <w:rPr>
                <w:rFonts w:ascii="Arial" w:hAnsi="Arial" w:eastAsia="Arial"/>
                <w:b w:val="0"/>
                <w:i w:val="0"/>
                <w:color w:val="000000"/>
                <w:sz w:val="20"/>
              </w:rPr>
              <w:t>Добрива, базова хімія та фармацевтика мають різні траєкторії.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Машинобудування</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70-95</w:t>
            </w:r>
          </w:p>
        </w:tc>
        <w:tc>
          <w:tcPr>
            <w:tcW w:type="dxa" w:w="1247"/>
          </w:tcPr>
          <w:p>
            <w:pPr>
              <w:jc w:val="left"/>
            </w:pPr>
            <w:r/>
            <w:r>
              <w:rPr>
                <w:rFonts w:ascii="Arial" w:hAnsi="Arial" w:eastAsia="Arial"/>
                <w:b w:val="0"/>
                <w:i w:val="0"/>
                <w:color w:val="000000"/>
                <w:sz w:val="20"/>
              </w:rPr>
              <w:t>80-100</w:t>
            </w:r>
          </w:p>
        </w:tc>
        <w:tc>
          <w:tcPr>
            <w:tcW w:type="dxa" w:w="1247"/>
          </w:tcPr>
          <w:p>
            <w:pPr>
              <w:jc w:val="left"/>
            </w:pPr>
            <w:r/>
            <w:r>
              <w:rPr>
                <w:rFonts w:ascii="Arial" w:hAnsi="Arial" w:eastAsia="Arial"/>
                <w:b w:val="0"/>
                <w:i w:val="0"/>
                <w:color w:val="000000"/>
                <w:sz w:val="20"/>
              </w:rPr>
              <w:t>95-120</w:t>
            </w:r>
          </w:p>
        </w:tc>
        <w:tc>
          <w:tcPr>
            <w:tcW w:type="dxa" w:w="1247"/>
          </w:tcPr>
          <w:p>
            <w:pPr>
              <w:jc w:val="left"/>
            </w:pPr>
            <w:r/>
            <w:r>
              <w:rPr>
                <w:rFonts w:ascii="Arial" w:hAnsi="Arial" w:eastAsia="Arial"/>
                <w:b w:val="0"/>
                <w:i w:val="0"/>
                <w:color w:val="000000"/>
                <w:sz w:val="20"/>
              </w:rPr>
              <w:t>120-150</w:t>
            </w:r>
          </w:p>
        </w:tc>
        <w:tc>
          <w:tcPr>
            <w:tcW w:type="dxa" w:w="1247"/>
          </w:tcPr>
          <w:p>
            <w:pPr>
              <w:jc w:val="left"/>
            </w:pPr>
            <w:r/>
            <w:r>
              <w:rPr>
                <w:rFonts w:ascii="Arial" w:hAnsi="Arial" w:eastAsia="Arial"/>
                <w:b w:val="0"/>
                <w:i w:val="0"/>
                <w:color w:val="000000"/>
                <w:sz w:val="20"/>
              </w:rPr>
              <w:t>A4-G04: downloads.unido.org; ukrenergymachines.com; ier.com.ua</w:t>
            </w:r>
          </w:p>
        </w:tc>
        <w:tc>
          <w:tcPr>
            <w:tcW w:type="dxa" w:w="1247"/>
          </w:tcPr>
          <w:p>
            <w:pPr>
              <w:jc w:val="left"/>
            </w:pPr>
            <w:r/>
            <w:r>
              <w:rPr>
                <w:rFonts w:ascii="Arial" w:hAnsi="Arial" w:eastAsia="Arial"/>
                <w:b w:val="0"/>
                <w:i w:val="0"/>
                <w:color w:val="000000"/>
                <w:sz w:val="20"/>
              </w:rPr>
              <w:t>Оборонний сегмент відокремлюється від цивільної серійності.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Будівництво і будматеріали</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60-75</w:t>
            </w:r>
          </w:p>
        </w:tc>
        <w:tc>
          <w:tcPr>
            <w:tcW w:type="dxa" w:w="1247"/>
          </w:tcPr>
          <w:p>
            <w:pPr>
              <w:jc w:val="left"/>
            </w:pPr>
            <w:r/>
            <w:r>
              <w:rPr>
                <w:rFonts w:ascii="Arial" w:hAnsi="Arial" w:eastAsia="Arial"/>
                <w:b w:val="0"/>
                <w:i w:val="0"/>
                <w:color w:val="000000"/>
                <w:sz w:val="20"/>
              </w:rPr>
              <w:t>70-85</w:t>
            </w:r>
          </w:p>
        </w:tc>
        <w:tc>
          <w:tcPr>
            <w:tcW w:type="dxa" w:w="1247"/>
          </w:tcPr>
          <w:p>
            <w:pPr>
              <w:jc w:val="left"/>
            </w:pPr>
            <w:r/>
            <w:r>
              <w:rPr>
                <w:rFonts w:ascii="Arial" w:hAnsi="Arial" w:eastAsia="Arial"/>
                <w:b w:val="0"/>
                <w:i w:val="0"/>
                <w:color w:val="000000"/>
                <w:sz w:val="20"/>
              </w:rPr>
              <w:t>90-110</w:t>
            </w:r>
          </w:p>
        </w:tc>
        <w:tc>
          <w:tcPr>
            <w:tcW w:type="dxa" w:w="1247"/>
          </w:tcPr>
          <w:p>
            <w:pPr>
              <w:jc w:val="left"/>
            </w:pPr>
            <w:r/>
            <w:r>
              <w:rPr>
                <w:rFonts w:ascii="Arial" w:hAnsi="Arial" w:eastAsia="Arial"/>
                <w:b w:val="0"/>
                <w:i w:val="0"/>
                <w:color w:val="000000"/>
                <w:sz w:val="20"/>
              </w:rPr>
              <w:t>115-140</w:t>
            </w:r>
          </w:p>
        </w:tc>
        <w:tc>
          <w:tcPr>
            <w:tcW w:type="dxa" w:w="1247"/>
          </w:tcPr>
          <w:p>
            <w:pPr>
              <w:jc w:val="left"/>
            </w:pPr>
            <w:r/>
            <w:r>
              <w:rPr>
                <w:rFonts w:ascii="Arial" w:hAnsi="Arial" w:eastAsia="Arial"/>
                <w:b w:val="0"/>
                <w:i w:val="0"/>
                <w:color w:val="000000"/>
                <w:sz w:val="20"/>
              </w:rPr>
              <w:t>A5-G08: KSE; Rebuilding Ukraine: Investment; DREAM; Ukraine Fifth Rapid</w:t>
            </w:r>
          </w:p>
        </w:tc>
        <w:tc>
          <w:tcPr>
            <w:tcW w:type="dxa" w:w="1247"/>
          </w:tcPr>
          <w:p>
            <w:pPr>
              <w:jc w:val="left"/>
            </w:pPr>
            <w:r/>
            <w:r>
              <w:rPr>
                <w:rFonts w:ascii="Arial" w:hAnsi="Arial" w:eastAsia="Arial"/>
                <w:b w:val="0"/>
                <w:i w:val="0"/>
                <w:color w:val="000000"/>
                <w:sz w:val="20"/>
              </w:rPr>
              <w:t>Попит відбудови не дорівнює автоматичному виконанню робіт.</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Агропромисловий комплекс і переробка</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75-90</w:t>
            </w:r>
          </w:p>
        </w:tc>
        <w:tc>
          <w:tcPr>
            <w:tcW w:type="dxa" w:w="1247"/>
          </w:tcPr>
          <w:p>
            <w:pPr>
              <w:jc w:val="left"/>
            </w:pPr>
            <w:r/>
            <w:r>
              <w:rPr>
                <w:rFonts w:ascii="Arial" w:hAnsi="Arial" w:eastAsia="Arial"/>
                <w:b w:val="0"/>
                <w:i w:val="0"/>
                <w:color w:val="000000"/>
                <w:sz w:val="20"/>
              </w:rPr>
              <w:t>85-100</w:t>
            </w:r>
          </w:p>
        </w:tc>
        <w:tc>
          <w:tcPr>
            <w:tcW w:type="dxa" w:w="1247"/>
          </w:tcPr>
          <w:p>
            <w:pPr>
              <w:jc w:val="left"/>
            </w:pPr>
            <w:r/>
            <w:r>
              <w:rPr>
                <w:rFonts w:ascii="Arial" w:hAnsi="Arial" w:eastAsia="Arial"/>
                <w:b w:val="0"/>
                <w:i w:val="0"/>
                <w:color w:val="000000"/>
                <w:sz w:val="20"/>
              </w:rPr>
              <w:t>100-115</w:t>
            </w:r>
          </w:p>
        </w:tc>
        <w:tc>
          <w:tcPr>
            <w:tcW w:type="dxa" w:w="1247"/>
          </w:tcPr>
          <w:p>
            <w:pPr>
              <w:jc w:val="left"/>
            </w:pPr>
            <w:r/>
            <w:r>
              <w:rPr>
                <w:rFonts w:ascii="Arial" w:hAnsi="Arial" w:eastAsia="Arial"/>
                <w:b w:val="0"/>
                <w:i w:val="0"/>
                <w:color w:val="000000"/>
                <w:sz w:val="20"/>
              </w:rPr>
              <w:t>115-135</w:t>
            </w:r>
          </w:p>
        </w:tc>
        <w:tc>
          <w:tcPr>
            <w:tcW w:type="dxa" w:w="1247"/>
          </w:tcPr>
          <w:p>
            <w:pPr>
              <w:jc w:val="left"/>
            </w:pPr>
            <w:r/>
            <w:r>
              <w:rPr>
                <w:rFonts w:ascii="Arial" w:hAnsi="Arial" w:eastAsia="Arial"/>
                <w:b w:val="0"/>
                <w:i w:val="0"/>
                <w:color w:val="000000"/>
                <w:sz w:val="20"/>
              </w:rPr>
              <w:t>A6-G08: FAOSTAT; Infographics Report; Tridge; OECD‑FAO</w:t>
            </w:r>
          </w:p>
        </w:tc>
        <w:tc>
          <w:tcPr>
            <w:tcW w:type="dxa" w:w="1247"/>
          </w:tcPr>
          <w:p>
            <w:pPr>
              <w:jc w:val="left"/>
            </w:pPr>
            <w:r/>
            <w:r>
              <w:rPr>
                <w:rFonts w:ascii="Arial" w:hAnsi="Arial" w:eastAsia="Arial"/>
                <w:b w:val="0"/>
                <w:i w:val="0"/>
                <w:color w:val="000000"/>
                <w:sz w:val="20"/>
              </w:rPr>
              <w:t>Вирішальним є перехід від сировинної виручки до переробки.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Зведений виробничий індекс V1</w:t>
            </w:r>
          </w:p>
        </w:tc>
        <w:tc>
          <w:tcPr>
            <w:tcW w:type="dxa" w:w="1247"/>
          </w:tcPr>
          <w:p>
            <w:pPr>
              <w:jc w:val="left"/>
            </w:pPr>
            <w:r/>
            <w:r>
              <w:rPr>
                <w:rFonts w:ascii="Arial" w:hAnsi="Arial" w:eastAsia="Arial"/>
                <w:b w:val="0"/>
                <w:i w:val="0"/>
                <w:color w:val="000000"/>
                <w:sz w:val="20"/>
              </w:rPr>
              <w:t>100</w:t>
            </w:r>
          </w:p>
        </w:tc>
        <w:tc>
          <w:tcPr>
            <w:tcW w:type="dxa" w:w="1247"/>
          </w:tcPr>
          <w:p>
            <w:pPr>
              <w:jc w:val="left"/>
            </w:pPr>
            <w:r/>
            <w:r>
              <w:rPr>
                <w:rFonts w:ascii="Arial" w:hAnsi="Arial" w:eastAsia="Arial"/>
                <w:b w:val="0"/>
                <w:i w:val="0"/>
                <w:color w:val="000000"/>
                <w:sz w:val="20"/>
              </w:rPr>
              <w:t>60-70</w:t>
            </w:r>
          </w:p>
        </w:tc>
        <w:tc>
          <w:tcPr>
            <w:tcW w:type="dxa" w:w="1247"/>
          </w:tcPr>
          <w:p>
            <w:pPr>
              <w:jc w:val="left"/>
            </w:pPr>
            <w:r/>
            <w:r>
              <w:rPr>
                <w:rFonts w:ascii="Arial" w:hAnsi="Arial" w:eastAsia="Arial"/>
                <w:b w:val="0"/>
                <w:i w:val="0"/>
                <w:color w:val="000000"/>
                <w:sz w:val="20"/>
              </w:rPr>
              <w:t>68-78</w:t>
            </w:r>
          </w:p>
        </w:tc>
        <w:tc>
          <w:tcPr>
            <w:tcW w:type="dxa" w:w="1247"/>
          </w:tcPr>
          <w:p>
            <w:pPr>
              <w:jc w:val="left"/>
            </w:pPr>
            <w:r/>
            <w:r>
              <w:rPr>
                <w:rFonts w:ascii="Arial" w:hAnsi="Arial" w:eastAsia="Arial"/>
                <w:b w:val="0"/>
                <w:i w:val="0"/>
                <w:color w:val="000000"/>
                <w:sz w:val="20"/>
              </w:rPr>
              <w:t>82-95</w:t>
            </w:r>
          </w:p>
        </w:tc>
        <w:tc>
          <w:tcPr>
            <w:tcW w:type="dxa" w:w="1247"/>
          </w:tcPr>
          <w:p>
            <w:pPr>
              <w:jc w:val="left"/>
            </w:pPr>
            <w:r/>
            <w:r>
              <w:rPr>
                <w:rFonts w:ascii="Arial" w:hAnsi="Arial" w:eastAsia="Arial"/>
                <w:b w:val="0"/>
                <w:i w:val="0"/>
                <w:color w:val="000000"/>
                <w:sz w:val="20"/>
              </w:rPr>
              <w:t>100-120</w:t>
            </w:r>
          </w:p>
        </w:tc>
        <w:tc>
          <w:tcPr>
            <w:tcW w:type="dxa" w:w="1247"/>
          </w:tcPr>
          <w:p>
            <w:pPr>
              <w:jc w:val="left"/>
            </w:pPr>
            <w:r/>
            <w:r>
              <w:rPr>
                <w:rFonts w:ascii="Arial" w:hAnsi="Arial" w:eastAsia="Arial"/>
                <w:b w:val="0"/>
                <w:i w:val="0"/>
                <w:color w:val="000000"/>
                <w:sz w:val="20"/>
              </w:rPr>
              <w:t>A0-G02 + upstream графи</w:t>
            </w:r>
          </w:p>
        </w:tc>
        <w:tc>
          <w:tcPr>
            <w:tcW w:type="dxa" w:w="1247"/>
          </w:tcPr>
          <w:p>
            <w:pPr>
              <w:jc w:val="left"/>
            </w:pPr>
            <w:r/>
            <w:r>
              <w:rPr>
                <w:rFonts w:ascii="Arial" w:hAnsi="Arial" w:eastAsia="Arial"/>
                <w:b w:val="0"/>
                <w:i w:val="0"/>
                <w:color w:val="000000"/>
                <w:sz w:val="20"/>
              </w:rPr>
              <w:t>Не підсумовує фізичні одиниці; нормує сектори до бази 2021.</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Виробничий висновок V1 полягає у тому, що інерційна траєкторія здатна стабілізувати частину секторів, але не повертає повну промислову складність. [1] Перехід до трансформаційної траєкторії потребує одночасного зняття енергетичного обмеження, логістичного обмеження, кадрового обмеження і капітального ризику. Окремий сектор може показувати відновлення, але зведений індекс залишатиметься нижчим, якщо інші канали не синхронізовані.</w:t>
      </w:r>
    </w:p>
    <w:p>
      <w:pPr>
        <w:pStyle w:val="Heading1"/>
      </w:pPr>
      <w:r>
        <w:rPr>
          <w:rFonts w:ascii="Arial" w:hAnsi="Arial" w:eastAsia="Arial"/>
          <w:b/>
          <w:i w:val="0"/>
          <w:color w:val="000000"/>
          <w:sz w:val="44"/>
        </w:rPr>
        <w:t>Зведені експортні траєкторії</w:t>
      </w:r>
    </w:p>
    <w:p>
      <w:pPr>
        <w:jc w:val="both"/>
      </w:pPr>
      <w:r>
        <w:rPr>
          <w:rFonts w:ascii="Arial" w:hAnsi="Arial" w:eastAsia="Arial"/>
          <w:b w:val="0"/>
          <w:i w:val="0"/>
          <w:color w:val="000000"/>
          <w:sz w:val="24"/>
        </w:rPr>
        <w:t>Експортна агрегація ведеться окремо, тому що валютна виручка залежить не тільки від виробництва. [1] Вона залежить від портів, залізниці, кордонів, страхування, товарної структури, світових цін, стандартів, CBAM, доступу до обігового капіталу і здатності продавати продукцію з більшою доданою вартістю. У цій логіці аграрний сектор, металургія, хімія і машинобудування мають різні ролі.</w:t>
      </w:r>
    </w:p>
    <w:p>
      <w:pPr>
        <w:jc w:val="both"/>
      </w:pPr>
      <w:r>
        <w:rPr>
          <w:rFonts w:ascii="Arial" w:hAnsi="Arial" w:eastAsia="Arial"/>
          <w:b w:val="0"/>
          <w:i w:val="0"/>
          <w:color w:val="000000"/>
          <w:sz w:val="24"/>
        </w:rPr>
        <w:t>Агропромисловий комплекс залишається головним валютним стабілізатором, але V1 відділяє сировинну виручку від промислового ефекту переробки. [1] Металургія залишається експортно значущою, однак її майбутня траєкторія залежить від доступу до портів, енергії та вуглецевих правил ЄС. Хімія може посилити внутрішній аграрний цикл через добрива, але експортний потенціал залежить від газу, енергії та відновлення активів. Машинобудування має меншу масу експорту, але вищу якість доданої вартості.</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Сектор</w:t>
            </w:r>
          </w:p>
        </w:tc>
        <w:tc>
          <w:tcPr>
            <w:tcW w:type="dxa" w:w="1247"/>
          </w:tcPr>
          <w:p>
            <w:pPr>
              <w:jc w:val="left"/>
            </w:pPr>
            <w:r/>
            <w:r>
              <w:rPr>
                <w:rFonts w:ascii="Arial" w:hAnsi="Arial" w:eastAsia="Arial"/>
                <w:b/>
                <w:i w:val="0"/>
                <w:color w:val="000000"/>
                <w:sz w:val="20"/>
              </w:rPr>
              <w:t>Експортна роль 2025</w:t>
            </w:r>
          </w:p>
        </w:tc>
        <w:tc>
          <w:tcPr>
            <w:tcW w:type="dxa" w:w="1247"/>
          </w:tcPr>
          <w:p>
            <w:pPr>
              <w:jc w:val="left"/>
            </w:pPr>
            <w:r/>
            <w:r>
              <w:rPr>
                <w:rFonts w:ascii="Arial" w:hAnsi="Arial" w:eastAsia="Arial"/>
                <w:b/>
                <w:i w:val="0"/>
                <w:color w:val="000000"/>
                <w:sz w:val="20"/>
              </w:rPr>
              <w:t>Інерційний 2030</w:t>
            </w:r>
          </w:p>
        </w:tc>
        <w:tc>
          <w:tcPr>
            <w:tcW w:type="dxa" w:w="1247"/>
          </w:tcPr>
          <w:p>
            <w:pPr>
              <w:jc w:val="left"/>
            </w:pPr>
            <w:r/>
            <w:r>
              <w:rPr>
                <w:rFonts w:ascii="Arial" w:hAnsi="Arial" w:eastAsia="Arial"/>
                <w:b/>
                <w:i w:val="0"/>
                <w:color w:val="000000"/>
                <w:sz w:val="20"/>
              </w:rPr>
              <w:t>Кероване відновлення 2030</w:t>
            </w:r>
          </w:p>
        </w:tc>
        <w:tc>
          <w:tcPr>
            <w:tcW w:type="dxa" w:w="1247"/>
          </w:tcPr>
          <w:p>
            <w:pPr>
              <w:jc w:val="left"/>
            </w:pPr>
            <w:r/>
            <w:r>
              <w:rPr>
                <w:rFonts w:ascii="Arial" w:hAnsi="Arial" w:eastAsia="Arial"/>
                <w:b/>
                <w:i w:val="0"/>
                <w:color w:val="000000"/>
                <w:sz w:val="20"/>
              </w:rPr>
              <w:t>Трансформаційний 2035</w:t>
            </w:r>
          </w:p>
        </w:tc>
        <w:tc>
          <w:tcPr>
            <w:tcW w:type="dxa" w:w="1247"/>
          </w:tcPr>
          <w:p>
            <w:pPr>
              <w:jc w:val="left"/>
            </w:pPr>
            <w:r/>
            <w:r>
              <w:rPr>
                <w:rFonts w:ascii="Arial" w:hAnsi="Arial" w:eastAsia="Arial"/>
                <w:b/>
                <w:i w:val="0"/>
                <w:color w:val="000000"/>
                <w:sz w:val="20"/>
              </w:rPr>
              <w:t>Ключовий важіль</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Агропромисловий комплекс</w:t>
            </w:r>
          </w:p>
        </w:tc>
        <w:tc>
          <w:tcPr>
            <w:tcW w:type="dxa" w:w="1247"/>
          </w:tcPr>
          <w:p>
            <w:pPr>
              <w:jc w:val="left"/>
            </w:pPr>
            <w:r/>
            <w:r>
              <w:rPr>
                <w:rFonts w:ascii="Arial" w:hAnsi="Arial" w:eastAsia="Arial"/>
                <w:b w:val="0"/>
                <w:i w:val="0"/>
                <w:color w:val="000000"/>
                <w:sz w:val="20"/>
              </w:rPr>
              <w:t>Висока, сировинно-орієнтована</w:t>
            </w:r>
          </w:p>
        </w:tc>
        <w:tc>
          <w:tcPr>
            <w:tcW w:type="dxa" w:w="1247"/>
          </w:tcPr>
          <w:p>
            <w:pPr>
              <w:jc w:val="left"/>
            </w:pPr>
            <w:r/>
            <w:r>
              <w:rPr>
                <w:rFonts w:ascii="Arial" w:hAnsi="Arial" w:eastAsia="Arial"/>
                <w:b w:val="0"/>
                <w:i w:val="0"/>
                <w:color w:val="000000"/>
                <w:sz w:val="20"/>
              </w:rPr>
              <w:t>Стабілізація обсягів, обмежена переробка</w:t>
            </w:r>
          </w:p>
        </w:tc>
        <w:tc>
          <w:tcPr>
            <w:tcW w:type="dxa" w:w="1247"/>
          </w:tcPr>
          <w:p>
            <w:pPr>
              <w:jc w:val="left"/>
            </w:pPr>
            <w:r/>
            <w:r>
              <w:rPr>
                <w:rFonts w:ascii="Arial" w:hAnsi="Arial" w:eastAsia="Arial"/>
                <w:b w:val="0"/>
                <w:i w:val="0"/>
                <w:color w:val="000000"/>
                <w:sz w:val="20"/>
              </w:rPr>
              <w:t>Зростання переробки та логістичної стійкості</w:t>
            </w:r>
          </w:p>
        </w:tc>
        <w:tc>
          <w:tcPr>
            <w:tcW w:type="dxa" w:w="1247"/>
          </w:tcPr>
          <w:p>
            <w:pPr>
              <w:jc w:val="left"/>
            </w:pPr>
            <w:r/>
            <w:r>
              <w:rPr>
                <w:rFonts w:ascii="Arial" w:hAnsi="Arial" w:eastAsia="Arial"/>
                <w:b w:val="0"/>
                <w:i w:val="0"/>
                <w:color w:val="000000"/>
                <w:sz w:val="20"/>
              </w:rPr>
              <w:t>Вища частка продукції з доданою вартістю</w:t>
            </w:r>
          </w:p>
        </w:tc>
        <w:tc>
          <w:tcPr>
            <w:tcW w:type="dxa" w:w="1247"/>
          </w:tcPr>
          <w:p>
            <w:pPr>
              <w:jc w:val="left"/>
            </w:pPr>
            <w:r/>
            <w:r>
              <w:rPr>
                <w:rFonts w:ascii="Arial" w:hAnsi="Arial" w:eastAsia="Arial"/>
                <w:b w:val="0"/>
                <w:i w:val="0"/>
                <w:color w:val="000000"/>
                <w:sz w:val="20"/>
              </w:rPr>
              <w:t>Переробка, зберігання, порти, добрива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Металургія</w:t>
            </w:r>
          </w:p>
        </w:tc>
        <w:tc>
          <w:tcPr>
            <w:tcW w:type="dxa" w:w="1247"/>
          </w:tcPr>
          <w:p>
            <w:pPr>
              <w:jc w:val="left"/>
            </w:pPr>
            <w:r/>
            <w:r>
              <w:rPr>
                <w:rFonts w:ascii="Arial" w:hAnsi="Arial" w:eastAsia="Arial"/>
                <w:b w:val="0"/>
                <w:i w:val="0"/>
                <w:color w:val="000000"/>
                <w:sz w:val="20"/>
              </w:rPr>
              <w:t>Висока, але нижча за довоєнну базу</w:t>
            </w:r>
          </w:p>
        </w:tc>
        <w:tc>
          <w:tcPr>
            <w:tcW w:type="dxa" w:w="1247"/>
          </w:tcPr>
          <w:p>
            <w:pPr>
              <w:jc w:val="left"/>
            </w:pPr>
            <w:r/>
            <w:r>
              <w:rPr>
                <w:rFonts w:ascii="Arial" w:hAnsi="Arial" w:eastAsia="Arial"/>
                <w:b w:val="0"/>
                <w:i w:val="0"/>
                <w:color w:val="000000"/>
                <w:sz w:val="20"/>
              </w:rPr>
              <w:t>Повільне відновлення при дорогій енергії</w:t>
            </w:r>
          </w:p>
        </w:tc>
        <w:tc>
          <w:tcPr>
            <w:tcW w:type="dxa" w:w="1247"/>
          </w:tcPr>
          <w:p>
            <w:pPr>
              <w:jc w:val="left"/>
            </w:pPr>
            <w:r/>
            <w:r>
              <w:rPr>
                <w:rFonts w:ascii="Arial" w:hAnsi="Arial" w:eastAsia="Arial"/>
                <w:b w:val="0"/>
                <w:i w:val="0"/>
                <w:color w:val="000000"/>
                <w:sz w:val="20"/>
              </w:rPr>
              <w:t>Часткове повернення ринків і модернізація</w:t>
            </w:r>
          </w:p>
        </w:tc>
        <w:tc>
          <w:tcPr>
            <w:tcW w:type="dxa" w:w="1247"/>
          </w:tcPr>
          <w:p>
            <w:pPr>
              <w:jc w:val="left"/>
            </w:pPr>
            <w:r/>
            <w:r>
              <w:rPr>
                <w:rFonts w:ascii="Arial" w:hAnsi="Arial" w:eastAsia="Arial"/>
                <w:b w:val="0"/>
                <w:i w:val="0"/>
                <w:color w:val="000000"/>
                <w:sz w:val="20"/>
              </w:rPr>
              <w:t>Низьковуглецева сталь і стабільна логістика</w:t>
            </w:r>
          </w:p>
        </w:tc>
        <w:tc>
          <w:tcPr>
            <w:tcW w:type="dxa" w:w="1247"/>
          </w:tcPr>
          <w:p>
            <w:pPr>
              <w:jc w:val="left"/>
            </w:pPr>
            <w:r/>
            <w:r>
              <w:rPr>
                <w:rFonts w:ascii="Arial" w:hAnsi="Arial" w:eastAsia="Arial"/>
                <w:b w:val="0"/>
                <w:i w:val="0"/>
                <w:color w:val="000000"/>
                <w:sz w:val="20"/>
              </w:rPr>
              <w:t>Енергія, порти, CBAM, капітал</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Хімічна промисловість</w:t>
            </w:r>
          </w:p>
        </w:tc>
        <w:tc>
          <w:tcPr>
            <w:tcW w:type="dxa" w:w="1247"/>
          </w:tcPr>
          <w:p>
            <w:pPr>
              <w:jc w:val="left"/>
            </w:pPr>
            <w:r/>
            <w:r>
              <w:rPr>
                <w:rFonts w:ascii="Arial" w:hAnsi="Arial" w:eastAsia="Arial"/>
                <w:b w:val="0"/>
                <w:i w:val="0"/>
                <w:color w:val="000000"/>
                <w:sz w:val="20"/>
              </w:rPr>
              <w:t>Середня, з розривом між підсекторами</w:t>
            </w:r>
          </w:p>
        </w:tc>
        <w:tc>
          <w:tcPr>
            <w:tcW w:type="dxa" w:w="1247"/>
          </w:tcPr>
          <w:p>
            <w:pPr>
              <w:jc w:val="left"/>
            </w:pPr>
            <w:r/>
            <w:r>
              <w:rPr>
                <w:rFonts w:ascii="Arial" w:hAnsi="Arial" w:eastAsia="Arial"/>
                <w:b w:val="0"/>
                <w:i w:val="0"/>
                <w:color w:val="000000"/>
                <w:sz w:val="20"/>
              </w:rPr>
              <w:t>Добрива підтримують внутрішній ринок, експорт обмежений</w:t>
            </w:r>
          </w:p>
        </w:tc>
        <w:tc>
          <w:tcPr>
            <w:tcW w:type="dxa" w:w="1247"/>
          </w:tcPr>
          <w:p>
            <w:pPr>
              <w:jc w:val="left"/>
            </w:pPr>
            <w:r/>
            <w:r>
              <w:rPr>
                <w:rFonts w:ascii="Arial" w:hAnsi="Arial" w:eastAsia="Arial"/>
                <w:b w:val="0"/>
                <w:i w:val="0"/>
                <w:color w:val="000000"/>
                <w:sz w:val="20"/>
              </w:rPr>
              <w:t>Поступове відновлення при доступному газі</w:t>
            </w:r>
          </w:p>
        </w:tc>
        <w:tc>
          <w:tcPr>
            <w:tcW w:type="dxa" w:w="1247"/>
          </w:tcPr>
          <w:p>
            <w:pPr>
              <w:jc w:val="left"/>
            </w:pPr>
            <w:r/>
            <w:r>
              <w:rPr>
                <w:rFonts w:ascii="Arial" w:hAnsi="Arial" w:eastAsia="Arial"/>
                <w:b w:val="0"/>
                <w:i w:val="0"/>
                <w:color w:val="000000"/>
                <w:sz w:val="20"/>
              </w:rPr>
              <w:t>Нові ніші, зелена хімія, інтеграція з агро</w:t>
            </w:r>
          </w:p>
        </w:tc>
        <w:tc>
          <w:tcPr>
            <w:tcW w:type="dxa" w:w="1247"/>
          </w:tcPr>
          <w:p>
            <w:pPr>
              <w:jc w:val="left"/>
            </w:pPr>
            <w:r/>
            <w:r>
              <w:rPr>
                <w:rFonts w:ascii="Arial" w:hAnsi="Arial" w:eastAsia="Arial"/>
                <w:b w:val="0"/>
                <w:i w:val="0"/>
                <w:color w:val="000000"/>
                <w:sz w:val="20"/>
              </w:rPr>
              <w:t>Газ, електроенергія, оборотний капітал</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Машинобудування</w:t>
            </w:r>
          </w:p>
        </w:tc>
        <w:tc>
          <w:tcPr>
            <w:tcW w:type="dxa" w:w="1247"/>
          </w:tcPr>
          <w:p>
            <w:pPr>
              <w:jc w:val="left"/>
            </w:pPr>
            <w:r/>
            <w:r>
              <w:rPr>
                <w:rFonts w:ascii="Arial" w:hAnsi="Arial" w:eastAsia="Arial"/>
                <w:b w:val="0"/>
                <w:i w:val="0"/>
                <w:color w:val="000000"/>
                <w:sz w:val="20"/>
              </w:rPr>
              <w:t>Невелика маса, висока складність</w:t>
            </w:r>
          </w:p>
        </w:tc>
        <w:tc>
          <w:tcPr>
            <w:tcW w:type="dxa" w:w="1247"/>
          </w:tcPr>
          <w:p>
            <w:pPr>
              <w:jc w:val="left"/>
            </w:pPr>
            <w:r/>
            <w:r>
              <w:rPr>
                <w:rFonts w:ascii="Arial" w:hAnsi="Arial" w:eastAsia="Arial"/>
                <w:b w:val="0"/>
                <w:i w:val="0"/>
                <w:color w:val="000000"/>
                <w:sz w:val="20"/>
              </w:rPr>
              <w:t>Оборонні ніші, слабка цивільна серійність</w:t>
            </w:r>
          </w:p>
        </w:tc>
        <w:tc>
          <w:tcPr>
            <w:tcW w:type="dxa" w:w="1247"/>
          </w:tcPr>
          <w:p>
            <w:pPr>
              <w:jc w:val="left"/>
            </w:pPr>
            <w:r/>
            <w:r>
              <w:rPr>
                <w:rFonts w:ascii="Arial" w:hAnsi="Arial" w:eastAsia="Arial"/>
                <w:b w:val="0"/>
                <w:i w:val="0"/>
                <w:color w:val="000000"/>
                <w:sz w:val="20"/>
              </w:rPr>
              <w:t>Локалізація компонентів та ремонтні ланцюги</w:t>
            </w:r>
          </w:p>
        </w:tc>
        <w:tc>
          <w:tcPr>
            <w:tcW w:type="dxa" w:w="1247"/>
          </w:tcPr>
          <w:p>
            <w:pPr>
              <w:jc w:val="left"/>
            </w:pPr>
            <w:r/>
            <w:r>
              <w:rPr>
                <w:rFonts w:ascii="Arial" w:hAnsi="Arial" w:eastAsia="Arial"/>
                <w:b w:val="0"/>
                <w:i w:val="0"/>
                <w:color w:val="000000"/>
                <w:sz w:val="20"/>
              </w:rPr>
              <w:t>Серійна продукція для енергетики, транспорту, оборони</w:t>
            </w:r>
          </w:p>
        </w:tc>
        <w:tc>
          <w:tcPr>
            <w:tcW w:type="dxa" w:w="1247"/>
          </w:tcPr>
          <w:p>
            <w:pPr>
              <w:jc w:val="left"/>
            </w:pPr>
            <w:r/>
            <w:r>
              <w:rPr>
                <w:rFonts w:ascii="Arial" w:hAnsi="Arial" w:eastAsia="Arial"/>
                <w:b w:val="0"/>
                <w:i w:val="0"/>
                <w:color w:val="000000"/>
                <w:sz w:val="20"/>
              </w:rPr>
              <w:t>Замовлення, інженери, компоненти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Будматеріали та будівельні рішення</w:t>
            </w:r>
          </w:p>
        </w:tc>
        <w:tc>
          <w:tcPr>
            <w:tcW w:type="dxa" w:w="1247"/>
          </w:tcPr>
          <w:p>
            <w:pPr>
              <w:jc w:val="left"/>
            </w:pPr>
            <w:r/>
            <w:r>
              <w:rPr>
                <w:rFonts w:ascii="Arial" w:hAnsi="Arial" w:eastAsia="Arial"/>
                <w:b w:val="0"/>
                <w:i w:val="0"/>
                <w:color w:val="000000"/>
                <w:sz w:val="20"/>
              </w:rPr>
              <w:t>Переважно внутрішній ринок</w:t>
            </w:r>
          </w:p>
        </w:tc>
        <w:tc>
          <w:tcPr>
            <w:tcW w:type="dxa" w:w="1247"/>
          </w:tcPr>
          <w:p>
            <w:pPr>
              <w:jc w:val="left"/>
            </w:pPr>
            <w:r/>
            <w:r>
              <w:rPr>
                <w:rFonts w:ascii="Arial" w:hAnsi="Arial" w:eastAsia="Arial"/>
                <w:b w:val="0"/>
                <w:i w:val="0"/>
                <w:color w:val="000000"/>
                <w:sz w:val="20"/>
              </w:rPr>
              <w:t>Низький експорт, залежність від відбудови</w:t>
            </w:r>
          </w:p>
        </w:tc>
        <w:tc>
          <w:tcPr>
            <w:tcW w:type="dxa" w:w="1247"/>
          </w:tcPr>
          <w:p>
            <w:pPr>
              <w:jc w:val="left"/>
            </w:pPr>
            <w:r/>
            <w:r>
              <w:rPr>
                <w:rFonts w:ascii="Arial" w:hAnsi="Arial" w:eastAsia="Arial"/>
                <w:b w:val="0"/>
                <w:i w:val="0"/>
                <w:color w:val="000000"/>
                <w:sz w:val="20"/>
              </w:rPr>
              <w:t>Експорт інженерних рішень і матеріалів у нішах</w:t>
            </w:r>
          </w:p>
        </w:tc>
        <w:tc>
          <w:tcPr>
            <w:tcW w:type="dxa" w:w="1247"/>
          </w:tcPr>
          <w:p>
            <w:pPr>
              <w:jc w:val="left"/>
            </w:pPr>
            <w:r/>
            <w:r>
              <w:rPr>
                <w:rFonts w:ascii="Arial" w:hAnsi="Arial" w:eastAsia="Arial"/>
                <w:b w:val="0"/>
                <w:i w:val="0"/>
                <w:color w:val="000000"/>
                <w:sz w:val="20"/>
              </w:rPr>
              <w:t>Локалізована виробнича база для регіональних ринків</w:t>
            </w:r>
          </w:p>
        </w:tc>
        <w:tc>
          <w:tcPr>
            <w:tcW w:type="dxa" w:w="1247"/>
          </w:tcPr>
          <w:p>
            <w:pPr>
              <w:jc w:val="left"/>
            </w:pPr>
            <w:r/>
            <w:r>
              <w:rPr>
                <w:rFonts w:ascii="Arial" w:hAnsi="Arial" w:eastAsia="Arial"/>
                <w:b w:val="0"/>
                <w:i w:val="0"/>
                <w:color w:val="000000"/>
                <w:sz w:val="20"/>
              </w:rPr>
              <w:t>Стандарти, сертифікація, масштаб</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Зведений експортний індекс V1</w:t>
            </w:r>
          </w:p>
        </w:tc>
        <w:tc>
          <w:tcPr>
            <w:tcW w:type="dxa" w:w="1247"/>
          </w:tcPr>
          <w:p>
            <w:pPr>
              <w:jc w:val="left"/>
            </w:pPr>
            <w:r/>
            <w:r>
              <w:rPr>
                <w:rFonts w:ascii="Arial" w:hAnsi="Arial" w:eastAsia="Arial"/>
                <w:b w:val="0"/>
                <w:i w:val="0"/>
                <w:color w:val="000000"/>
                <w:sz w:val="20"/>
              </w:rPr>
              <w:t>65-75</w:t>
            </w:r>
          </w:p>
        </w:tc>
        <w:tc>
          <w:tcPr>
            <w:tcW w:type="dxa" w:w="1247"/>
          </w:tcPr>
          <w:p>
            <w:pPr>
              <w:jc w:val="left"/>
            </w:pPr>
            <w:r/>
            <w:r>
              <w:rPr>
                <w:rFonts w:ascii="Arial" w:hAnsi="Arial" w:eastAsia="Arial"/>
                <w:b w:val="0"/>
                <w:i w:val="0"/>
                <w:color w:val="000000"/>
                <w:sz w:val="20"/>
              </w:rPr>
              <w:t>72-82</w:t>
            </w:r>
          </w:p>
        </w:tc>
        <w:tc>
          <w:tcPr>
            <w:tcW w:type="dxa" w:w="1247"/>
          </w:tcPr>
          <w:p>
            <w:pPr>
              <w:jc w:val="left"/>
            </w:pPr>
            <w:r/>
            <w:r>
              <w:rPr>
                <w:rFonts w:ascii="Arial" w:hAnsi="Arial" w:eastAsia="Arial"/>
                <w:b w:val="0"/>
                <w:i w:val="0"/>
                <w:color w:val="000000"/>
                <w:sz w:val="20"/>
              </w:rPr>
              <w:t>85-100</w:t>
            </w:r>
          </w:p>
        </w:tc>
        <w:tc>
          <w:tcPr>
            <w:tcW w:type="dxa" w:w="1247"/>
          </w:tcPr>
          <w:p>
            <w:pPr>
              <w:jc w:val="left"/>
            </w:pPr>
            <w:r/>
            <w:r>
              <w:rPr>
                <w:rFonts w:ascii="Arial" w:hAnsi="Arial" w:eastAsia="Arial"/>
                <w:b w:val="0"/>
                <w:i w:val="0"/>
                <w:color w:val="000000"/>
                <w:sz w:val="20"/>
              </w:rPr>
              <w:t>105-125</w:t>
            </w:r>
          </w:p>
        </w:tc>
        <w:tc>
          <w:tcPr>
            <w:tcW w:type="dxa" w:w="1247"/>
          </w:tcPr>
          <w:p>
            <w:pPr>
              <w:jc w:val="left"/>
            </w:pPr>
            <w:r/>
            <w:r>
              <w:rPr>
                <w:rFonts w:ascii="Arial" w:hAnsi="Arial" w:eastAsia="Arial"/>
                <w:b w:val="0"/>
                <w:i w:val="0"/>
                <w:color w:val="000000"/>
                <w:sz w:val="20"/>
              </w:rPr>
              <w:t>Логістика + структура доданої вартості</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Експортний висновок полягає у тому, що структура виручки важливіша за номінальний обсяг. [1] Якщо Україна збереже лише сировинну й напівсировинну експортну логіку, експорт може підтримувати платіжний баланс, але не забезпечить достатньої фіскальної та технологічної глибини.</w:t>
      </w:r>
    </w:p>
    <w:p>
      <w:pPr>
        <w:pStyle w:val="Heading1"/>
      </w:pPr>
      <w:r>
        <w:rPr>
          <w:rFonts w:ascii="Arial" w:hAnsi="Arial" w:eastAsia="Arial"/>
          <w:b/>
          <w:i w:val="0"/>
          <w:color w:val="000000"/>
          <w:sz w:val="44"/>
        </w:rPr>
        <w:t>Зведені траєкторії зайнятості</w:t>
      </w:r>
    </w:p>
    <w:p>
      <w:pPr>
        <w:jc w:val="both"/>
      </w:pPr>
      <w:r>
        <w:rPr>
          <w:rFonts w:ascii="Arial" w:hAnsi="Arial" w:eastAsia="Arial"/>
          <w:b w:val="0"/>
          <w:i w:val="0"/>
          <w:color w:val="000000"/>
          <w:sz w:val="24"/>
        </w:rPr>
        <w:t>Зайнятість у цьому блоці - це не лише кількість робочих місць. [1] Це перевірка того, чи здатна країна фізично виконати виробничу, експортну й фіскальну траєкторію. Будівництво потребує масової операційної праці, машинобудування - інженерів і техніків, енергетика - ремонтних і мережевих команд, металургія - досвідчених операторів і технологів, агропереробка - сезонної та постійної праці, логістика - водіїв, диспетчерів і портових спеціалістів.</w:t>
      </w:r>
    </w:p>
    <w:p>
      <w:pPr>
        <w:jc w:val="both"/>
      </w:pPr>
      <w:r>
        <w:rPr>
          <w:rFonts w:ascii="Arial" w:hAnsi="Arial" w:eastAsia="Arial"/>
          <w:b w:val="0"/>
          <w:i w:val="0"/>
          <w:color w:val="000000"/>
          <w:sz w:val="24"/>
        </w:rPr>
        <w:t>Демографічний, міграційний і кадровий контури створюють спільну межу. [1] Дані про біженців і тимчасовий захист у Європі показують, що значна частина робочого ресурсу перебуває поза внутрішнім ринком праці. Дані щодо внутрішнього переміщення показують, що навіть населення всередині країни часто не збігається з географією робочих місць. Опитування бізнесу щодо дефіциту кадрів підтверджують, що кадровий бар’єр уже є виробничим обмеженням.</w:t>
      </w:r>
    </w:p>
    <w:tbl>
      <w:tblPr>
        <w:tblStyle w:val="TableGrid"/>
        <w:tblW w:type="auto" w:w="0"/>
        <w:jc w:val="left"/>
        <w:tblLayout w:type="fixed"/>
        <w:tblLook w:firstColumn="1" w:firstRow="1" w:lastColumn="0" w:lastRow="0" w:noHBand="0" w:noVBand="1" w:val="04A0"/>
      </w:tblPr>
      <w:tblGrid>
        <w:gridCol w:w="1218"/>
        <w:gridCol w:w="1218"/>
        <w:gridCol w:w="1218"/>
        <w:gridCol w:w="1218"/>
        <w:gridCol w:w="1218"/>
        <w:gridCol w:w="1218"/>
        <w:gridCol w:w="1218"/>
        <w:gridCol w:w="1218"/>
      </w:tblGrid>
      <w:tr>
        <w:tc>
          <w:tcPr>
            <w:tcW w:type="dxa" w:w="2041"/>
          </w:tcPr>
          <w:p>
            <w:pPr>
              <w:jc w:val="left"/>
            </w:pPr>
            <w:r/>
            <w:r>
              <w:rPr>
                <w:rFonts w:ascii="Arial" w:hAnsi="Arial" w:eastAsia="Arial"/>
                <w:b/>
                <w:i w:val="0"/>
                <w:color w:val="000000"/>
                <w:sz w:val="20"/>
              </w:rPr>
              <w:t>Канал зайнятості</w:t>
            </w:r>
          </w:p>
        </w:tc>
        <w:tc>
          <w:tcPr>
            <w:tcW w:type="dxa" w:w="1247"/>
          </w:tcPr>
          <w:p>
            <w:pPr>
              <w:jc w:val="left"/>
            </w:pPr>
            <w:r/>
            <w:r>
              <w:rPr>
                <w:rFonts w:ascii="Arial" w:hAnsi="Arial" w:eastAsia="Arial"/>
                <w:b/>
                <w:i w:val="0"/>
                <w:color w:val="000000"/>
                <w:sz w:val="20"/>
              </w:rPr>
              <w:t>Сектори найбільшої залежності</w:t>
            </w:r>
          </w:p>
        </w:tc>
        <w:tc>
          <w:tcPr>
            <w:tcW w:type="dxa" w:w="1247"/>
          </w:tcPr>
          <w:p>
            <w:pPr>
              <w:jc w:val="left"/>
            </w:pPr>
            <w:r/>
            <w:r>
              <w:rPr>
                <w:rFonts w:ascii="Arial" w:hAnsi="Arial" w:eastAsia="Arial"/>
                <w:b/>
                <w:i w:val="0"/>
                <w:color w:val="000000"/>
                <w:sz w:val="20"/>
              </w:rPr>
              <w:t>Поточний сигнал 2020-2025</w:t>
            </w:r>
          </w:p>
        </w:tc>
        <w:tc>
          <w:tcPr>
            <w:tcW w:type="dxa" w:w="1247"/>
          </w:tcPr>
          <w:p>
            <w:pPr>
              <w:jc w:val="left"/>
            </w:pPr>
            <w:r/>
            <w:r>
              <w:rPr>
                <w:rFonts w:ascii="Arial" w:hAnsi="Arial" w:eastAsia="Arial"/>
                <w:b/>
                <w:i w:val="0"/>
                <w:color w:val="000000"/>
                <w:sz w:val="20"/>
              </w:rPr>
              <w:t>Інерційний 2030</w:t>
            </w:r>
          </w:p>
        </w:tc>
        <w:tc>
          <w:tcPr>
            <w:tcW w:type="dxa" w:w="1247"/>
          </w:tcPr>
          <w:p>
            <w:pPr>
              <w:jc w:val="left"/>
            </w:pPr>
            <w:r/>
            <w:r>
              <w:rPr>
                <w:rFonts w:ascii="Arial" w:hAnsi="Arial" w:eastAsia="Arial"/>
                <w:b/>
                <w:i w:val="0"/>
                <w:color w:val="000000"/>
                <w:sz w:val="20"/>
              </w:rPr>
              <w:t>Трансформаційний 2035</w:t>
            </w:r>
          </w:p>
        </w:tc>
        <w:tc>
          <w:tcPr>
            <w:tcW w:type="dxa" w:w="1247"/>
          </w:tcPr>
          <w:p>
            <w:pPr>
              <w:jc w:val="left"/>
            </w:pPr>
            <w:r/>
            <w:r>
              <w:rPr>
                <w:rFonts w:ascii="Arial" w:hAnsi="Arial" w:eastAsia="Arial"/>
                <w:b/>
                <w:i w:val="0"/>
                <w:color w:val="000000"/>
                <w:sz w:val="20"/>
              </w:rPr>
              <w:t>Джерела / графи</w:t>
            </w:r>
          </w:p>
        </w:tc>
        <w:tc>
          <w:tcPr>
            <w:tcW w:type="dxa" w:w="1247"/>
          </w:tcPr>
          <w:p>
            <w:pPr>
              <w:jc w:val="left"/>
            </w:pPr>
            <w:r/>
            <w:r>
              <w:rPr>
                <w:rFonts w:ascii="Arial" w:hAnsi="Arial" w:eastAsia="Arial"/>
                <w:b/>
                <w:i w:val="0"/>
                <w:color w:val="000000"/>
                <w:sz w:val="20"/>
              </w:rPr>
              <w:t>Застереження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Масова операційна праця</w:t>
            </w:r>
          </w:p>
        </w:tc>
        <w:tc>
          <w:tcPr>
            <w:tcW w:type="dxa" w:w="1247"/>
          </w:tcPr>
          <w:p>
            <w:pPr>
              <w:jc w:val="left"/>
            </w:pPr>
            <w:r/>
            <w:r>
              <w:rPr>
                <w:rFonts w:ascii="Arial" w:hAnsi="Arial" w:eastAsia="Arial"/>
                <w:b w:val="0"/>
                <w:i w:val="0"/>
                <w:color w:val="000000"/>
                <w:sz w:val="20"/>
              </w:rPr>
              <w:t>Будівництво, логістика, агропереробка</w:t>
            </w:r>
          </w:p>
        </w:tc>
        <w:tc>
          <w:tcPr>
            <w:tcW w:type="dxa" w:w="1247"/>
          </w:tcPr>
          <w:p>
            <w:pPr>
              <w:jc w:val="left"/>
            </w:pPr>
            <w:r/>
            <w:r>
              <w:rPr>
                <w:rFonts w:ascii="Arial" w:hAnsi="Arial" w:eastAsia="Arial"/>
                <w:b w:val="0"/>
                <w:i w:val="0"/>
                <w:color w:val="000000"/>
                <w:sz w:val="20"/>
              </w:rPr>
              <w:t>Дефіцит у регіонах і проектах відбудови</w:t>
            </w:r>
          </w:p>
        </w:tc>
        <w:tc>
          <w:tcPr>
            <w:tcW w:type="dxa" w:w="1247"/>
          </w:tcPr>
          <w:p>
            <w:pPr>
              <w:jc w:val="left"/>
            </w:pPr>
            <w:r/>
            <w:r>
              <w:rPr>
                <w:rFonts w:ascii="Arial" w:hAnsi="Arial" w:eastAsia="Arial"/>
                <w:b w:val="0"/>
                <w:i w:val="0"/>
                <w:color w:val="000000"/>
                <w:sz w:val="20"/>
              </w:rPr>
              <w:t>Повільне повернення, висока конкуренція за працівників</w:t>
            </w:r>
          </w:p>
        </w:tc>
        <w:tc>
          <w:tcPr>
            <w:tcW w:type="dxa" w:w="1247"/>
          </w:tcPr>
          <w:p>
            <w:pPr>
              <w:jc w:val="left"/>
            </w:pPr>
            <w:r/>
            <w:r>
              <w:rPr>
                <w:rFonts w:ascii="Arial" w:hAnsi="Arial" w:eastAsia="Arial"/>
                <w:b w:val="0"/>
                <w:i w:val="0"/>
                <w:color w:val="000000"/>
                <w:sz w:val="20"/>
              </w:rPr>
              <w:t>Професійна мобілізація, навчання, повернення частини мігрантів</w:t>
            </w:r>
          </w:p>
        </w:tc>
        <w:tc>
          <w:tcPr>
            <w:tcW w:type="dxa" w:w="1247"/>
          </w:tcPr>
          <w:p>
            <w:pPr>
              <w:jc w:val="left"/>
            </w:pPr>
            <w:r/>
            <w:r>
              <w:rPr>
                <w:rFonts w:ascii="Arial" w:hAnsi="Arial" w:eastAsia="Arial"/>
                <w:b w:val="0"/>
                <w:i w:val="0"/>
                <w:color w:val="000000"/>
                <w:sz w:val="20"/>
              </w:rPr>
              <w:t>B1-G08: Ukraine Human Capital; Employer Survey on; Rebuilding Ukraine</w:t>
            </w:r>
          </w:p>
        </w:tc>
        <w:tc>
          <w:tcPr>
            <w:tcW w:type="dxa" w:w="1247"/>
          </w:tcPr>
          <w:p>
            <w:pPr>
              <w:jc w:val="left"/>
            </w:pPr>
            <w:r/>
            <w:r>
              <w:rPr>
                <w:rFonts w:ascii="Arial" w:hAnsi="Arial" w:eastAsia="Arial"/>
                <w:b w:val="0"/>
                <w:i w:val="0"/>
                <w:color w:val="000000"/>
                <w:sz w:val="20"/>
              </w:rPr>
              <w:t>Не зводиться до загальної чисельності населення.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Інженерна і технічна праця</w:t>
            </w:r>
          </w:p>
        </w:tc>
        <w:tc>
          <w:tcPr>
            <w:tcW w:type="dxa" w:w="1247"/>
          </w:tcPr>
          <w:p>
            <w:pPr>
              <w:jc w:val="left"/>
            </w:pPr>
            <w:r/>
            <w:r>
              <w:rPr>
                <w:rFonts w:ascii="Arial" w:hAnsi="Arial" w:eastAsia="Arial"/>
                <w:b w:val="0"/>
                <w:i w:val="0"/>
                <w:color w:val="000000"/>
                <w:sz w:val="20"/>
              </w:rPr>
              <w:t>Машинобудування, енергетика, металургія, хімія</w:t>
            </w:r>
          </w:p>
        </w:tc>
        <w:tc>
          <w:tcPr>
            <w:tcW w:type="dxa" w:w="1247"/>
          </w:tcPr>
          <w:p>
            <w:pPr>
              <w:jc w:val="left"/>
            </w:pPr>
            <w:r/>
            <w:r>
              <w:rPr>
                <w:rFonts w:ascii="Arial" w:hAnsi="Arial" w:eastAsia="Arial"/>
                <w:b w:val="0"/>
                <w:i w:val="0"/>
                <w:color w:val="000000"/>
                <w:sz w:val="20"/>
              </w:rPr>
              <w:t>Високий дефіцит і конкуренція з оборонним сектором</w:t>
            </w:r>
          </w:p>
        </w:tc>
        <w:tc>
          <w:tcPr>
            <w:tcW w:type="dxa" w:w="1247"/>
          </w:tcPr>
          <w:p>
            <w:pPr>
              <w:jc w:val="left"/>
            </w:pPr>
            <w:r/>
            <w:r>
              <w:rPr>
                <w:rFonts w:ascii="Arial" w:hAnsi="Arial" w:eastAsia="Arial"/>
                <w:b w:val="0"/>
                <w:i w:val="0"/>
                <w:color w:val="000000"/>
                <w:sz w:val="20"/>
              </w:rPr>
              <w:t>Слабка цивільна серійність</w:t>
            </w:r>
          </w:p>
        </w:tc>
        <w:tc>
          <w:tcPr>
            <w:tcW w:type="dxa" w:w="1247"/>
          </w:tcPr>
          <w:p>
            <w:pPr>
              <w:jc w:val="left"/>
            </w:pPr>
            <w:r/>
            <w:r>
              <w:rPr>
                <w:rFonts w:ascii="Arial" w:hAnsi="Arial" w:eastAsia="Arial"/>
                <w:b w:val="0"/>
                <w:i w:val="0"/>
                <w:color w:val="000000"/>
                <w:sz w:val="20"/>
              </w:rPr>
              <w:t>Промислові освітні траєкторії і локалізація компонентів</w:t>
            </w:r>
          </w:p>
        </w:tc>
        <w:tc>
          <w:tcPr>
            <w:tcW w:type="dxa" w:w="1247"/>
          </w:tcPr>
          <w:p>
            <w:pPr>
              <w:jc w:val="left"/>
            </w:pPr>
            <w:r/>
            <w:r>
              <w:rPr>
                <w:rFonts w:ascii="Arial" w:hAnsi="Arial" w:eastAsia="Arial"/>
                <w:b w:val="0"/>
                <w:i w:val="0"/>
                <w:color w:val="000000"/>
                <w:sz w:val="20"/>
              </w:rPr>
              <w:t>Ukraine Human Capital; ukrenergymachines.com; ier.com.ua</w:t>
            </w:r>
          </w:p>
        </w:tc>
        <w:tc>
          <w:tcPr>
            <w:tcW w:type="dxa" w:w="1247"/>
          </w:tcPr>
          <w:p>
            <w:pPr>
              <w:jc w:val="left"/>
            </w:pPr>
            <w:r/>
            <w:r>
              <w:rPr>
                <w:rFonts w:ascii="Arial" w:hAnsi="Arial" w:eastAsia="Arial"/>
                <w:b w:val="0"/>
                <w:i w:val="0"/>
                <w:color w:val="000000"/>
                <w:sz w:val="20"/>
              </w:rPr>
              <w:t>Потребує довшого горизонту підготовки.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Аграрна і харчова праця</w:t>
            </w:r>
          </w:p>
        </w:tc>
        <w:tc>
          <w:tcPr>
            <w:tcW w:type="dxa" w:w="1247"/>
          </w:tcPr>
          <w:p>
            <w:pPr>
              <w:jc w:val="left"/>
            </w:pPr>
            <w:r/>
            <w:r>
              <w:rPr>
                <w:rFonts w:ascii="Arial" w:hAnsi="Arial" w:eastAsia="Arial"/>
                <w:b w:val="0"/>
                <w:i w:val="0"/>
                <w:color w:val="000000"/>
                <w:sz w:val="20"/>
              </w:rPr>
              <w:t>АПК, переробка, зберігання, логістика</w:t>
            </w:r>
          </w:p>
        </w:tc>
        <w:tc>
          <w:tcPr>
            <w:tcW w:type="dxa" w:w="1247"/>
          </w:tcPr>
          <w:p>
            <w:pPr>
              <w:jc w:val="left"/>
            </w:pPr>
            <w:r/>
            <w:r>
              <w:rPr>
                <w:rFonts w:ascii="Arial" w:hAnsi="Arial" w:eastAsia="Arial"/>
                <w:b w:val="0"/>
                <w:i w:val="0"/>
                <w:color w:val="000000"/>
                <w:sz w:val="20"/>
              </w:rPr>
              <w:t>Сезонність і регіональні розриви</w:t>
            </w:r>
          </w:p>
        </w:tc>
        <w:tc>
          <w:tcPr>
            <w:tcW w:type="dxa" w:w="1247"/>
          </w:tcPr>
          <w:p>
            <w:pPr>
              <w:jc w:val="left"/>
            </w:pPr>
            <w:r/>
            <w:r>
              <w:rPr>
                <w:rFonts w:ascii="Arial" w:hAnsi="Arial" w:eastAsia="Arial"/>
                <w:b w:val="0"/>
                <w:i w:val="0"/>
                <w:color w:val="000000"/>
                <w:sz w:val="20"/>
              </w:rPr>
              <w:t>Стабілізація без повної переробки</w:t>
            </w:r>
          </w:p>
        </w:tc>
        <w:tc>
          <w:tcPr>
            <w:tcW w:type="dxa" w:w="1247"/>
          </w:tcPr>
          <w:p>
            <w:pPr>
              <w:jc w:val="left"/>
            </w:pPr>
            <w:r/>
            <w:r>
              <w:rPr>
                <w:rFonts w:ascii="Arial" w:hAnsi="Arial" w:eastAsia="Arial"/>
                <w:b w:val="0"/>
                <w:i w:val="0"/>
                <w:color w:val="000000"/>
                <w:sz w:val="20"/>
              </w:rPr>
              <w:t>Зростання зайнятості в переробці</w:t>
            </w:r>
          </w:p>
        </w:tc>
        <w:tc>
          <w:tcPr>
            <w:tcW w:type="dxa" w:w="1247"/>
          </w:tcPr>
          <w:p>
            <w:pPr>
              <w:jc w:val="left"/>
            </w:pPr>
            <w:r/>
            <w:r>
              <w:rPr>
                <w:rFonts w:ascii="Arial" w:hAnsi="Arial" w:eastAsia="Arial"/>
                <w:b w:val="0"/>
                <w:i w:val="0"/>
                <w:color w:val="000000"/>
                <w:sz w:val="20"/>
              </w:rPr>
              <w:t>FAOSTAT; Mediacenter; Tridge</w:t>
            </w:r>
          </w:p>
        </w:tc>
        <w:tc>
          <w:tcPr>
            <w:tcW w:type="dxa" w:w="1247"/>
          </w:tcPr>
          <w:p>
            <w:pPr>
              <w:jc w:val="left"/>
            </w:pPr>
            <w:r/>
            <w:r>
              <w:rPr>
                <w:rFonts w:ascii="Arial" w:hAnsi="Arial" w:eastAsia="Arial"/>
                <w:b w:val="0"/>
                <w:i w:val="0"/>
                <w:color w:val="000000"/>
                <w:sz w:val="20"/>
              </w:rPr>
              <w:t>Автоматизація змінює структуру праці.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Повернення та інтеграція людей</w:t>
            </w:r>
          </w:p>
        </w:tc>
        <w:tc>
          <w:tcPr>
            <w:tcW w:type="dxa" w:w="1247"/>
          </w:tcPr>
          <w:p>
            <w:pPr>
              <w:jc w:val="left"/>
            </w:pPr>
            <w:r/>
            <w:r>
              <w:rPr>
                <w:rFonts w:ascii="Arial" w:hAnsi="Arial" w:eastAsia="Arial"/>
                <w:b w:val="0"/>
                <w:i w:val="0"/>
                <w:color w:val="000000"/>
                <w:sz w:val="20"/>
              </w:rPr>
              <w:t>Усі сектори</w:t>
            </w:r>
          </w:p>
        </w:tc>
        <w:tc>
          <w:tcPr>
            <w:tcW w:type="dxa" w:w="1247"/>
          </w:tcPr>
          <w:p>
            <w:pPr>
              <w:jc w:val="left"/>
            </w:pPr>
            <w:r/>
            <w:r>
              <w:rPr>
                <w:rFonts w:ascii="Arial" w:hAnsi="Arial" w:eastAsia="Arial"/>
                <w:b w:val="0"/>
                <w:i w:val="0"/>
                <w:color w:val="000000"/>
                <w:sz w:val="20"/>
              </w:rPr>
              <w:t>Зовнішня міграція і ВПО змінюють пропозицію праці</w:t>
            </w:r>
          </w:p>
        </w:tc>
        <w:tc>
          <w:tcPr>
            <w:tcW w:type="dxa" w:w="1247"/>
          </w:tcPr>
          <w:p>
            <w:pPr>
              <w:jc w:val="left"/>
            </w:pPr>
            <w:r/>
            <w:r>
              <w:rPr>
                <w:rFonts w:ascii="Arial" w:hAnsi="Arial" w:eastAsia="Arial"/>
                <w:b w:val="0"/>
                <w:i w:val="0"/>
                <w:color w:val="000000"/>
                <w:sz w:val="20"/>
              </w:rPr>
              <w:t>Часткове повернення, нерівномірність за регіонами</w:t>
            </w:r>
          </w:p>
        </w:tc>
        <w:tc>
          <w:tcPr>
            <w:tcW w:type="dxa" w:w="1247"/>
          </w:tcPr>
          <w:p>
            <w:pPr>
              <w:jc w:val="left"/>
            </w:pPr>
            <w:r/>
            <w:r>
              <w:rPr>
                <w:rFonts w:ascii="Arial" w:hAnsi="Arial" w:eastAsia="Arial"/>
                <w:b w:val="0"/>
                <w:i w:val="0"/>
                <w:color w:val="000000"/>
                <w:sz w:val="20"/>
              </w:rPr>
              <w:t>Керована інтеграція, житло, дитячі сервіси, перекваліфікація</w:t>
            </w:r>
          </w:p>
        </w:tc>
        <w:tc>
          <w:tcPr>
            <w:tcW w:type="dxa" w:w="1247"/>
          </w:tcPr>
          <w:p>
            <w:pPr>
              <w:jc w:val="left"/>
            </w:pPr>
            <w:r/>
            <w:r>
              <w:rPr>
                <w:rFonts w:ascii="Arial" w:hAnsi="Arial" w:eastAsia="Arial"/>
                <w:b w:val="0"/>
                <w:i w:val="0"/>
                <w:color w:val="000000"/>
                <w:sz w:val="20"/>
              </w:rPr>
              <w:t>B1-G01: Ukrainian Refugees After; UNHCR; IOM; Ukraine</w:t>
            </w:r>
          </w:p>
        </w:tc>
        <w:tc>
          <w:tcPr>
            <w:tcW w:type="dxa" w:w="1247"/>
          </w:tcPr>
          <w:p>
            <w:pPr>
              <w:jc w:val="left"/>
            </w:pPr>
            <w:r/>
            <w:r>
              <w:rPr>
                <w:rFonts w:ascii="Arial" w:hAnsi="Arial" w:eastAsia="Arial"/>
                <w:b w:val="0"/>
                <w:i w:val="0"/>
                <w:color w:val="000000"/>
                <w:sz w:val="20"/>
              </w:rPr>
              <w:t>Залежить від безпеки, доходів і житла.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Зведений індекс кадрової реалізованості V1</w:t>
            </w:r>
          </w:p>
        </w:tc>
        <w:tc>
          <w:tcPr>
            <w:tcW w:type="dxa" w:w="1247"/>
          </w:tcPr>
          <w:p>
            <w:pPr>
              <w:jc w:val="left"/>
            </w:pPr>
            <w:r/>
            <w:r>
              <w:rPr>
                <w:rFonts w:ascii="Arial" w:hAnsi="Arial" w:eastAsia="Arial"/>
                <w:b w:val="0"/>
                <w:i w:val="0"/>
                <w:color w:val="000000"/>
                <w:sz w:val="20"/>
              </w:rPr>
              <w:t>Усі сектори</w:t>
            </w:r>
          </w:p>
        </w:tc>
        <w:tc>
          <w:tcPr>
            <w:tcW w:type="dxa" w:w="1247"/>
          </w:tcPr>
          <w:p>
            <w:pPr>
              <w:jc w:val="left"/>
            </w:pPr>
            <w:r/>
            <w:r>
              <w:rPr>
                <w:rFonts w:ascii="Arial" w:hAnsi="Arial" w:eastAsia="Arial"/>
                <w:b w:val="0"/>
                <w:i w:val="0"/>
                <w:color w:val="000000"/>
                <w:sz w:val="20"/>
              </w:rPr>
              <w:t>60-70</w:t>
            </w:r>
          </w:p>
        </w:tc>
        <w:tc>
          <w:tcPr>
            <w:tcW w:type="dxa" w:w="1247"/>
          </w:tcPr>
          <w:p>
            <w:pPr>
              <w:jc w:val="left"/>
            </w:pPr>
            <w:r/>
            <w:r>
              <w:rPr>
                <w:rFonts w:ascii="Arial" w:hAnsi="Arial" w:eastAsia="Arial"/>
                <w:b w:val="0"/>
                <w:i w:val="0"/>
                <w:color w:val="000000"/>
                <w:sz w:val="20"/>
              </w:rPr>
              <w:t>65-75</w:t>
            </w:r>
          </w:p>
        </w:tc>
        <w:tc>
          <w:tcPr>
            <w:tcW w:type="dxa" w:w="1247"/>
          </w:tcPr>
          <w:p>
            <w:pPr>
              <w:jc w:val="left"/>
            </w:pPr>
            <w:r/>
            <w:r>
              <w:rPr>
                <w:rFonts w:ascii="Arial" w:hAnsi="Arial" w:eastAsia="Arial"/>
                <w:b w:val="0"/>
                <w:i w:val="0"/>
                <w:color w:val="000000"/>
                <w:sz w:val="20"/>
              </w:rPr>
              <w:t>85-100</w:t>
            </w:r>
          </w:p>
        </w:tc>
        <w:tc>
          <w:tcPr>
            <w:tcW w:type="dxa" w:w="1247"/>
          </w:tcPr>
          <w:p>
            <w:pPr>
              <w:jc w:val="left"/>
            </w:pPr>
            <w:r/>
            <w:r>
              <w:rPr>
                <w:rFonts w:ascii="Arial" w:hAnsi="Arial" w:eastAsia="Arial"/>
                <w:b w:val="0"/>
                <w:i w:val="0"/>
                <w:color w:val="000000"/>
                <w:sz w:val="20"/>
              </w:rPr>
              <w:t>A0-G04: Ukraine Human Capital; Employer Survey on</w:t>
            </w:r>
          </w:p>
        </w:tc>
        <w:tc>
          <w:tcPr>
            <w:tcW w:type="dxa" w:w="1247"/>
          </w:tcPr>
          <w:p>
            <w:pPr>
              <w:jc w:val="left"/>
            </w:pPr>
            <w:r/>
            <w:r>
              <w:rPr>
                <w:rFonts w:ascii="Arial" w:hAnsi="Arial" w:eastAsia="Arial"/>
                <w:b w:val="0"/>
                <w:i w:val="0"/>
                <w:color w:val="000000"/>
                <w:sz w:val="20"/>
              </w:rPr>
              <w:t>Індекс показує спроможність реалізувати виробничу траєкторію, а не офіційну зайнятість.</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Ключовий висновок для зайнятості: [1] без активної кадрової політики навіть фінансована відбудова і доступна енергія можуть дати нижчий фактичний випуск. Потрібні зарплати, безпека, житло, доглядова інфраструктура, перекваліфікація, професійна освіта і регіональна прив’язка робочих місць.</w:t>
      </w:r>
    </w:p>
    <w:p>
      <w:pPr>
        <w:pStyle w:val="Heading1"/>
      </w:pPr>
      <w:r>
        <w:rPr>
          <w:rFonts w:ascii="Arial" w:hAnsi="Arial" w:eastAsia="Arial"/>
          <w:b/>
          <w:i w:val="0"/>
          <w:color w:val="000000"/>
          <w:sz w:val="44"/>
        </w:rPr>
        <w:t>Зведені траєкторії фіскальної бази</w:t>
      </w:r>
    </w:p>
    <w:p>
      <w:pPr>
        <w:jc w:val="both"/>
      </w:pPr>
      <w:r>
        <w:rPr>
          <w:rFonts w:ascii="Arial" w:hAnsi="Arial" w:eastAsia="Arial"/>
          <w:b w:val="0"/>
          <w:i w:val="0"/>
          <w:color w:val="000000"/>
          <w:sz w:val="24"/>
        </w:rPr>
        <w:t>Фіскальна агрегація переводить виробничі, експортні та зайнятісні сигнали у бюджетну мову. [1] Вона не підміняє детальний бюджетний прогноз, але показує, де промислова база може створювати податковий ресурс.</w:t>
      </w:r>
    </w:p>
    <w:p>
      <w:pPr>
        <w:jc w:val="both"/>
      </w:pPr>
      <w:r>
        <w:rPr>
          <w:rFonts w:ascii="Arial" w:hAnsi="Arial" w:eastAsia="Arial"/>
          <w:b w:val="0"/>
          <w:i w:val="0"/>
          <w:color w:val="000000"/>
          <w:sz w:val="24"/>
        </w:rPr>
        <w:t>Металургія створює фіскальний ефект через великі підприємства, зарплати, транспорт, енергію, експорт і постачальників. [1] Агропромисловий комплекс дає велику валютну і податкову базу, але якість фіскального ефекту зростає тоді, коли частка переробки і внутрішньої доданої вартості збільшується. Будівництво дає ПДВ, зарплати, місцеві податки і попит на матеріали, однак його фіскальний ефект залежить від прозорості проєктів, фінансування та локалізації. Машинобудування і хімія можуть створити вищу фіскальну щільність на одиницю випуску, якщо будуть підтримані серійністю, інженерною працею і доступним капіталом.</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Сектор / канал</w:t>
            </w:r>
          </w:p>
        </w:tc>
        <w:tc>
          <w:tcPr>
            <w:tcW w:type="dxa" w:w="1247"/>
          </w:tcPr>
          <w:p>
            <w:pPr>
              <w:jc w:val="left"/>
            </w:pPr>
            <w:r/>
            <w:r>
              <w:rPr>
                <w:rFonts w:ascii="Arial" w:hAnsi="Arial" w:eastAsia="Arial"/>
                <w:b/>
                <w:i w:val="0"/>
                <w:color w:val="000000"/>
                <w:sz w:val="20"/>
              </w:rPr>
              <w:t>Фіскальна база 2025</w:t>
            </w:r>
          </w:p>
        </w:tc>
        <w:tc>
          <w:tcPr>
            <w:tcW w:type="dxa" w:w="1247"/>
          </w:tcPr>
          <w:p>
            <w:pPr>
              <w:jc w:val="left"/>
            </w:pPr>
            <w:r/>
            <w:r>
              <w:rPr>
                <w:rFonts w:ascii="Arial" w:hAnsi="Arial" w:eastAsia="Arial"/>
                <w:b/>
                <w:i w:val="0"/>
                <w:color w:val="000000"/>
                <w:sz w:val="20"/>
              </w:rPr>
              <w:t>Інерційний 2030</w:t>
            </w:r>
          </w:p>
        </w:tc>
        <w:tc>
          <w:tcPr>
            <w:tcW w:type="dxa" w:w="1247"/>
          </w:tcPr>
          <w:p>
            <w:pPr>
              <w:jc w:val="left"/>
            </w:pPr>
            <w:r/>
            <w:r>
              <w:rPr>
                <w:rFonts w:ascii="Arial" w:hAnsi="Arial" w:eastAsia="Arial"/>
                <w:b/>
                <w:i w:val="0"/>
                <w:color w:val="000000"/>
                <w:sz w:val="20"/>
              </w:rPr>
              <w:t>Кероване відновлення 2030</w:t>
            </w:r>
          </w:p>
        </w:tc>
        <w:tc>
          <w:tcPr>
            <w:tcW w:type="dxa" w:w="1247"/>
          </w:tcPr>
          <w:p>
            <w:pPr>
              <w:jc w:val="left"/>
            </w:pPr>
            <w:r/>
            <w:r>
              <w:rPr>
                <w:rFonts w:ascii="Arial" w:hAnsi="Arial" w:eastAsia="Arial"/>
                <w:b/>
                <w:i w:val="0"/>
                <w:color w:val="000000"/>
                <w:sz w:val="20"/>
              </w:rPr>
              <w:t>Трансформаційний 2035</w:t>
            </w:r>
          </w:p>
        </w:tc>
        <w:tc>
          <w:tcPr>
            <w:tcW w:type="dxa" w:w="1247"/>
          </w:tcPr>
          <w:p>
            <w:pPr>
              <w:jc w:val="left"/>
            </w:pPr>
            <w:r/>
            <w:r>
              <w:rPr>
                <w:rFonts w:ascii="Arial" w:hAnsi="Arial" w:eastAsia="Arial"/>
                <w:b/>
                <w:i w:val="0"/>
                <w:color w:val="000000"/>
                <w:sz w:val="20"/>
              </w:rPr>
              <w:t>Основні податкові канали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Металургія</w:t>
            </w:r>
          </w:p>
        </w:tc>
        <w:tc>
          <w:tcPr>
            <w:tcW w:type="dxa" w:w="1247"/>
          </w:tcPr>
          <w:p>
            <w:pPr>
              <w:jc w:val="left"/>
            </w:pPr>
            <w:r/>
            <w:r>
              <w:rPr>
                <w:rFonts w:ascii="Arial" w:hAnsi="Arial" w:eastAsia="Arial"/>
                <w:b w:val="0"/>
                <w:i w:val="0"/>
                <w:color w:val="000000"/>
                <w:sz w:val="20"/>
              </w:rPr>
              <w:t>Стиснута, але системна</w:t>
            </w:r>
          </w:p>
        </w:tc>
        <w:tc>
          <w:tcPr>
            <w:tcW w:type="dxa" w:w="1247"/>
          </w:tcPr>
          <w:p>
            <w:pPr>
              <w:jc w:val="left"/>
            </w:pPr>
            <w:r/>
            <w:r>
              <w:rPr>
                <w:rFonts w:ascii="Arial" w:hAnsi="Arial" w:eastAsia="Arial"/>
                <w:b w:val="0"/>
                <w:i w:val="0"/>
                <w:color w:val="000000"/>
                <w:sz w:val="20"/>
              </w:rPr>
              <w:t>Поступове відновлення платежів</w:t>
            </w:r>
          </w:p>
        </w:tc>
        <w:tc>
          <w:tcPr>
            <w:tcW w:type="dxa" w:w="1247"/>
          </w:tcPr>
          <w:p>
            <w:pPr>
              <w:jc w:val="left"/>
            </w:pPr>
            <w:r/>
            <w:r>
              <w:rPr>
                <w:rFonts w:ascii="Arial" w:hAnsi="Arial" w:eastAsia="Arial"/>
                <w:b w:val="0"/>
                <w:i w:val="0"/>
                <w:color w:val="000000"/>
                <w:sz w:val="20"/>
              </w:rPr>
              <w:t>Вища база при доступній енергії та експорті</w:t>
            </w:r>
          </w:p>
        </w:tc>
        <w:tc>
          <w:tcPr>
            <w:tcW w:type="dxa" w:w="1247"/>
          </w:tcPr>
          <w:p>
            <w:pPr>
              <w:jc w:val="left"/>
            </w:pPr>
            <w:r/>
            <w:r>
              <w:rPr>
                <w:rFonts w:ascii="Arial" w:hAnsi="Arial" w:eastAsia="Arial"/>
                <w:b w:val="0"/>
                <w:i w:val="0"/>
                <w:color w:val="000000"/>
                <w:sz w:val="20"/>
              </w:rPr>
              <w:t>Стабільна база плюс модернізація</w:t>
            </w:r>
          </w:p>
        </w:tc>
        <w:tc>
          <w:tcPr>
            <w:tcW w:type="dxa" w:w="1247"/>
          </w:tcPr>
          <w:p>
            <w:pPr>
              <w:jc w:val="left"/>
            </w:pPr>
            <w:r/>
            <w:r>
              <w:rPr>
                <w:rFonts w:ascii="Arial" w:hAnsi="Arial" w:eastAsia="Arial"/>
                <w:b w:val="0"/>
                <w:i w:val="0"/>
                <w:color w:val="000000"/>
                <w:sz w:val="20"/>
              </w:rPr>
              <w:t>Податок на прибуток, ПДФО, ЄСВ, ПДВ, транспорт, експорт</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Енергетика і тарифи</w:t>
            </w:r>
          </w:p>
        </w:tc>
        <w:tc>
          <w:tcPr>
            <w:tcW w:type="dxa" w:w="1247"/>
          </w:tcPr>
          <w:p>
            <w:pPr>
              <w:jc w:val="left"/>
            </w:pPr>
            <w:r/>
            <w:r>
              <w:rPr>
                <w:rFonts w:ascii="Arial" w:hAnsi="Arial" w:eastAsia="Arial"/>
                <w:b w:val="0"/>
                <w:i w:val="0"/>
                <w:color w:val="000000"/>
                <w:sz w:val="20"/>
              </w:rPr>
              <w:t>Високе квазіфіскальне навантаження</w:t>
            </w:r>
          </w:p>
        </w:tc>
        <w:tc>
          <w:tcPr>
            <w:tcW w:type="dxa" w:w="1247"/>
          </w:tcPr>
          <w:p>
            <w:pPr>
              <w:jc w:val="left"/>
            </w:pPr>
            <w:r/>
            <w:r>
              <w:rPr>
                <w:rFonts w:ascii="Arial" w:hAnsi="Arial" w:eastAsia="Arial"/>
                <w:b w:val="0"/>
                <w:i w:val="0"/>
                <w:color w:val="000000"/>
                <w:sz w:val="20"/>
              </w:rPr>
              <w:t>Ризик перекладання витрат на бюджет або бізнес</w:t>
            </w:r>
          </w:p>
        </w:tc>
        <w:tc>
          <w:tcPr>
            <w:tcW w:type="dxa" w:w="1247"/>
          </w:tcPr>
          <w:p>
            <w:pPr>
              <w:jc w:val="left"/>
            </w:pPr>
            <w:r/>
            <w:r>
              <w:rPr>
                <w:rFonts w:ascii="Arial" w:hAnsi="Arial" w:eastAsia="Arial"/>
                <w:b w:val="0"/>
                <w:i w:val="0"/>
                <w:color w:val="000000"/>
                <w:sz w:val="20"/>
              </w:rPr>
              <w:t>Передбачувана тарифна рамка</w:t>
            </w:r>
          </w:p>
        </w:tc>
        <w:tc>
          <w:tcPr>
            <w:tcW w:type="dxa" w:w="1247"/>
          </w:tcPr>
          <w:p>
            <w:pPr>
              <w:jc w:val="left"/>
            </w:pPr>
            <w:r/>
            <w:r>
              <w:rPr>
                <w:rFonts w:ascii="Arial" w:hAnsi="Arial" w:eastAsia="Arial"/>
                <w:b w:val="0"/>
                <w:i w:val="0"/>
                <w:color w:val="000000"/>
                <w:sz w:val="20"/>
              </w:rPr>
              <w:t>Менше аварійного фінансування, більше інвестицій</w:t>
            </w:r>
          </w:p>
        </w:tc>
        <w:tc>
          <w:tcPr>
            <w:tcW w:type="dxa" w:w="1247"/>
          </w:tcPr>
          <w:p>
            <w:pPr>
              <w:jc w:val="left"/>
            </w:pPr>
            <w:r/>
            <w:r>
              <w:rPr>
                <w:rFonts w:ascii="Arial" w:hAnsi="Arial" w:eastAsia="Arial"/>
                <w:b w:val="0"/>
                <w:i w:val="0"/>
                <w:color w:val="000000"/>
                <w:sz w:val="20"/>
              </w:rPr>
              <w:t>Тарифи, субсидії, інвестиції, імпорт електроенергії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Хімія</w:t>
            </w:r>
          </w:p>
        </w:tc>
        <w:tc>
          <w:tcPr>
            <w:tcW w:type="dxa" w:w="1247"/>
          </w:tcPr>
          <w:p>
            <w:pPr>
              <w:jc w:val="left"/>
            </w:pPr>
            <w:r/>
            <w:r>
              <w:rPr>
                <w:rFonts w:ascii="Arial" w:hAnsi="Arial" w:eastAsia="Arial"/>
                <w:b w:val="0"/>
                <w:i w:val="0"/>
                <w:color w:val="000000"/>
                <w:sz w:val="20"/>
              </w:rPr>
              <w:t>Нерівна за підсекторами</w:t>
            </w:r>
          </w:p>
        </w:tc>
        <w:tc>
          <w:tcPr>
            <w:tcW w:type="dxa" w:w="1247"/>
          </w:tcPr>
          <w:p>
            <w:pPr>
              <w:jc w:val="left"/>
            </w:pPr>
            <w:r/>
            <w:r>
              <w:rPr>
                <w:rFonts w:ascii="Arial" w:hAnsi="Arial" w:eastAsia="Arial"/>
                <w:b w:val="0"/>
                <w:i w:val="0"/>
                <w:color w:val="000000"/>
                <w:sz w:val="20"/>
              </w:rPr>
              <w:t>Добрива підтримують агроцикл, базова хімія слабша</w:t>
            </w:r>
          </w:p>
        </w:tc>
        <w:tc>
          <w:tcPr>
            <w:tcW w:type="dxa" w:w="1247"/>
          </w:tcPr>
          <w:p>
            <w:pPr>
              <w:jc w:val="left"/>
            </w:pPr>
            <w:r/>
            <w:r>
              <w:rPr>
                <w:rFonts w:ascii="Arial" w:hAnsi="Arial" w:eastAsia="Arial"/>
                <w:b w:val="0"/>
                <w:i w:val="0"/>
                <w:color w:val="000000"/>
                <w:sz w:val="20"/>
              </w:rPr>
              <w:t>Відновлення при доступному газі й капіталі</w:t>
            </w:r>
          </w:p>
        </w:tc>
        <w:tc>
          <w:tcPr>
            <w:tcW w:type="dxa" w:w="1247"/>
          </w:tcPr>
          <w:p>
            <w:pPr>
              <w:jc w:val="left"/>
            </w:pPr>
            <w:r/>
            <w:r>
              <w:rPr>
                <w:rFonts w:ascii="Arial" w:hAnsi="Arial" w:eastAsia="Arial"/>
                <w:b w:val="0"/>
                <w:i w:val="0"/>
                <w:color w:val="000000"/>
                <w:sz w:val="20"/>
              </w:rPr>
              <w:t>Глибша інтеграція з агро та зеленою хімією</w:t>
            </w:r>
          </w:p>
        </w:tc>
        <w:tc>
          <w:tcPr>
            <w:tcW w:type="dxa" w:w="1247"/>
          </w:tcPr>
          <w:p>
            <w:pPr>
              <w:jc w:val="left"/>
            </w:pPr>
            <w:r/>
            <w:r>
              <w:rPr>
                <w:rFonts w:ascii="Arial" w:hAnsi="Arial" w:eastAsia="Arial"/>
                <w:b w:val="0"/>
                <w:i w:val="0"/>
                <w:color w:val="000000"/>
                <w:sz w:val="20"/>
              </w:rPr>
              <w:t>ПДВ, прибуток, зарплати, імпортний ПДВ, екологічні платежі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Машинобудування</w:t>
            </w:r>
          </w:p>
        </w:tc>
        <w:tc>
          <w:tcPr>
            <w:tcW w:type="dxa" w:w="1247"/>
          </w:tcPr>
          <w:p>
            <w:pPr>
              <w:jc w:val="left"/>
            </w:pPr>
            <w:r/>
            <w:r>
              <w:rPr>
                <w:rFonts w:ascii="Arial" w:hAnsi="Arial" w:eastAsia="Arial"/>
                <w:b w:val="0"/>
                <w:i w:val="0"/>
                <w:color w:val="000000"/>
                <w:sz w:val="20"/>
              </w:rPr>
              <w:t>Зростання в оборонних сегментах, слабші цивільні ніші</w:t>
            </w:r>
          </w:p>
        </w:tc>
        <w:tc>
          <w:tcPr>
            <w:tcW w:type="dxa" w:w="1247"/>
          </w:tcPr>
          <w:p>
            <w:pPr>
              <w:jc w:val="left"/>
            </w:pPr>
            <w:r/>
            <w:r>
              <w:rPr>
                <w:rFonts w:ascii="Arial" w:hAnsi="Arial" w:eastAsia="Arial"/>
                <w:b w:val="0"/>
                <w:i w:val="0"/>
                <w:color w:val="000000"/>
                <w:sz w:val="20"/>
              </w:rPr>
              <w:t>Ризик вузької оборонної залежності</w:t>
            </w:r>
          </w:p>
        </w:tc>
        <w:tc>
          <w:tcPr>
            <w:tcW w:type="dxa" w:w="1247"/>
          </w:tcPr>
          <w:p>
            <w:pPr>
              <w:jc w:val="left"/>
            </w:pPr>
            <w:r/>
            <w:r>
              <w:rPr>
                <w:rFonts w:ascii="Arial" w:hAnsi="Arial" w:eastAsia="Arial"/>
                <w:b w:val="0"/>
                <w:i w:val="0"/>
                <w:color w:val="000000"/>
                <w:sz w:val="20"/>
              </w:rPr>
              <w:t>Локалізація компонентів</w:t>
            </w:r>
          </w:p>
        </w:tc>
        <w:tc>
          <w:tcPr>
            <w:tcW w:type="dxa" w:w="1247"/>
          </w:tcPr>
          <w:p>
            <w:pPr>
              <w:jc w:val="left"/>
            </w:pPr>
            <w:r/>
            <w:r>
              <w:rPr>
                <w:rFonts w:ascii="Arial" w:hAnsi="Arial" w:eastAsia="Arial"/>
                <w:b w:val="0"/>
                <w:i w:val="0"/>
                <w:color w:val="000000"/>
                <w:sz w:val="20"/>
              </w:rPr>
              <w:t>Висока фіскальна щільність складного виробництва</w:t>
            </w:r>
          </w:p>
        </w:tc>
        <w:tc>
          <w:tcPr>
            <w:tcW w:type="dxa" w:w="1247"/>
          </w:tcPr>
          <w:p>
            <w:pPr>
              <w:jc w:val="left"/>
            </w:pPr>
            <w:r/>
            <w:r>
              <w:rPr>
                <w:rFonts w:ascii="Arial" w:hAnsi="Arial" w:eastAsia="Arial"/>
                <w:b w:val="0"/>
                <w:i w:val="0"/>
                <w:color w:val="000000"/>
                <w:sz w:val="20"/>
              </w:rPr>
              <w:t>ПДВ, прибуток, зарплати, локалізація, сервіс</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Будівництво</w:t>
            </w:r>
          </w:p>
        </w:tc>
        <w:tc>
          <w:tcPr>
            <w:tcW w:type="dxa" w:w="1247"/>
          </w:tcPr>
          <w:p>
            <w:pPr>
              <w:jc w:val="left"/>
            </w:pPr>
            <w:r/>
            <w:r>
              <w:rPr>
                <w:rFonts w:ascii="Arial" w:hAnsi="Arial" w:eastAsia="Arial"/>
                <w:b w:val="0"/>
                <w:i w:val="0"/>
                <w:color w:val="000000"/>
                <w:sz w:val="20"/>
              </w:rPr>
              <w:t>Залежить від відбудовчих проєктів</w:t>
            </w:r>
          </w:p>
        </w:tc>
        <w:tc>
          <w:tcPr>
            <w:tcW w:type="dxa" w:w="1247"/>
          </w:tcPr>
          <w:p>
            <w:pPr>
              <w:jc w:val="left"/>
            </w:pPr>
            <w:r/>
            <w:r>
              <w:rPr>
                <w:rFonts w:ascii="Arial" w:hAnsi="Arial" w:eastAsia="Arial"/>
                <w:b w:val="0"/>
                <w:i w:val="0"/>
                <w:color w:val="000000"/>
                <w:sz w:val="20"/>
              </w:rPr>
              <w:t>Повільне розгортання без проєктної готовності</w:t>
            </w:r>
          </w:p>
        </w:tc>
        <w:tc>
          <w:tcPr>
            <w:tcW w:type="dxa" w:w="1247"/>
          </w:tcPr>
          <w:p>
            <w:pPr>
              <w:jc w:val="left"/>
            </w:pPr>
            <w:r/>
            <w:r>
              <w:rPr>
                <w:rFonts w:ascii="Arial" w:hAnsi="Arial" w:eastAsia="Arial"/>
                <w:b w:val="0"/>
                <w:i w:val="0"/>
                <w:color w:val="000000"/>
                <w:sz w:val="20"/>
              </w:rPr>
              <w:t>Вища локалізація матеріалів</w:t>
            </w:r>
          </w:p>
        </w:tc>
        <w:tc>
          <w:tcPr>
            <w:tcW w:type="dxa" w:w="1247"/>
          </w:tcPr>
          <w:p>
            <w:pPr>
              <w:jc w:val="left"/>
            </w:pPr>
            <w:r/>
            <w:r>
              <w:rPr>
                <w:rFonts w:ascii="Arial" w:hAnsi="Arial" w:eastAsia="Arial"/>
                <w:b w:val="0"/>
                <w:i w:val="0"/>
                <w:color w:val="000000"/>
                <w:sz w:val="20"/>
              </w:rPr>
              <w:t>Широка база ПДВ, праці та місцевих платежів</w:t>
            </w:r>
          </w:p>
        </w:tc>
        <w:tc>
          <w:tcPr>
            <w:tcW w:type="dxa" w:w="1247"/>
          </w:tcPr>
          <w:p>
            <w:pPr>
              <w:jc w:val="left"/>
            </w:pPr>
            <w:r/>
            <w:r>
              <w:rPr>
                <w:rFonts w:ascii="Arial" w:hAnsi="Arial" w:eastAsia="Arial"/>
                <w:b w:val="0"/>
                <w:i w:val="0"/>
                <w:color w:val="000000"/>
                <w:sz w:val="20"/>
              </w:rPr>
              <w:t>ПДВ, ПДФО, ЄСВ, місцеві податки, матеріали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Агропромисловий комплекс</w:t>
            </w:r>
          </w:p>
        </w:tc>
        <w:tc>
          <w:tcPr>
            <w:tcW w:type="dxa" w:w="1247"/>
          </w:tcPr>
          <w:p>
            <w:pPr>
              <w:jc w:val="left"/>
            </w:pPr>
            <w:r/>
            <w:r>
              <w:rPr>
                <w:rFonts w:ascii="Arial" w:hAnsi="Arial" w:eastAsia="Arial"/>
                <w:b w:val="0"/>
                <w:i w:val="0"/>
                <w:color w:val="000000"/>
                <w:sz w:val="20"/>
              </w:rPr>
              <w:t>Висока роль у валюті і податках</w:t>
            </w:r>
          </w:p>
        </w:tc>
        <w:tc>
          <w:tcPr>
            <w:tcW w:type="dxa" w:w="1247"/>
          </w:tcPr>
          <w:p>
            <w:pPr>
              <w:jc w:val="left"/>
            </w:pPr>
            <w:r/>
            <w:r>
              <w:rPr>
                <w:rFonts w:ascii="Arial" w:hAnsi="Arial" w:eastAsia="Arial"/>
                <w:b w:val="0"/>
                <w:i w:val="0"/>
                <w:color w:val="000000"/>
                <w:sz w:val="20"/>
              </w:rPr>
              <w:t>Стабільна сировинна база</w:t>
            </w:r>
          </w:p>
        </w:tc>
        <w:tc>
          <w:tcPr>
            <w:tcW w:type="dxa" w:w="1247"/>
          </w:tcPr>
          <w:p>
            <w:pPr>
              <w:jc w:val="left"/>
            </w:pPr>
            <w:r/>
            <w:r>
              <w:rPr>
                <w:rFonts w:ascii="Arial" w:hAnsi="Arial" w:eastAsia="Arial"/>
                <w:b w:val="0"/>
                <w:i w:val="0"/>
                <w:color w:val="000000"/>
                <w:sz w:val="20"/>
              </w:rPr>
              <w:t>Зростання переробки</w:t>
            </w:r>
          </w:p>
        </w:tc>
        <w:tc>
          <w:tcPr>
            <w:tcW w:type="dxa" w:w="1247"/>
          </w:tcPr>
          <w:p>
            <w:pPr>
              <w:jc w:val="left"/>
            </w:pPr>
            <w:r/>
            <w:r>
              <w:rPr>
                <w:rFonts w:ascii="Arial" w:hAnsi="Arial" w:eastAsia="Arial"/>
                <w:b w:val="0"/>
                <w:i w:val="0"/>
                <w:color w:val="000000"/>
                <w:sz w:val="20"/>
              </w:rPr>
              <w:t>Більша внутрішня додана вартість</w:t>
            </w:r>
          </w:p>
        </w:tc>
        <w:tc>
          <w:tcPr>
            <w:tcW w:type="dxa" w:w="1247"/>
          </w:tcPr>
          <w:p>
            <w:pPr>
              <w:jc w:val="left"/>
            </w:pPr>
            <w:r/>
            <w:r>
              <w:rPr>
                <w:rFonts w:ascii="Arial" w:hAnsi="Arial" w:eastAsia="Arial"/>
                <w:b w:val="0"/>
                <w:i w:val="0"/>
                <w:color w:val="000000"/>
                <w:sz w:val="20"/>
              </w:rPr>
              <w:t>ПДВ, прибуток, зарплати, експорт, акцизи, логістика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Зведений фіскальний індекс V1</w:t>
            </w:r>
          </w:p>
        </w:tc>
        <w:tc>
          <w:tcPr>
            <w:tcW w:type="dxa" w:w="1247"/>
          </w:tcPr>
          <w:p>
            <w:pPr>
              <w:jc w:val="left"/>
            </w:pPr>
            <w:r/>
            <w:r>
              <w:rPr>
                <w:rFonts w:ascii="Arial" w:hAnsi="Arial" w:eastAsia="Arial"/>
                <w:b w:val="0"/>
                <w:i w:val="0"/>
                <w:color w:val="000000"/>
                <w:sz w:val="20"/>
              </w:rPr>
              <w:t>60-75</w:t>
            </w:r>
          </w:p>
        </w:tc>
        <w:tc>
          <w:tcPr>
            <w:tcW w:type="dxa" w:w="1247"/>
          </w:tcPr>
          <w:p>
            <w:pPr>
              <w:jc w:val="left"/>
            </w:pPr>
            <w:r/>
            <w:r>
              <w:rPr>
                <w:rFonts w:ascii="Arial" w:hAnsi="Arial" w:eastAsia="Arial"/>
                <w:b w:val="0"/>
                <w:i w:val="0"/>
                <w:color w:val="000000"/>
                <w:sz w:val="20"/>
              </w:rPr>
              <w:t>70-85</w:t>
            </w:r>
          </w:p>
        </w:tc>
        <w:tc>
          <w:tcPr>
            <w:tcW w:type="dxa" w:w="1247"/>
          </w:tcPr>
          <w:p>
            <w:pPr>
              <w:jc w:val="left"/>
            </w:pPr>
            <w:r/>
            <w:r>
              <w:rPr>
                <w:rFonts w:ascii="Arial" w:hAnsi="Arial" w:eastAsia="Arial"/>
                <w:b w:val="0"/>
                <w:i w:val="0"/>
                <w:color w:val="000000"/>
                <w:sz w:val="20"/>
              </w:rPr>
              <w:t>85-100</w:t>
            </w:r>
          </w:p>
        </w:tc>
        <w:tc>
          <w:tcPr>
            <w:tcW w:type="dxa" w:w="1247"/>
          </w:tcPr>
          <w:p>
            <w:pPr>
              <w:jc w:val="left"/>
            </w:pPr>
            <w:r/>
            <w:r>
              <w:rPr>
                <w:rFonts w:ascii="Arial" w:hAnsi="Arial" w:eastAsia="Arial"/>
                <w:b w:val="0"/>
                <w:i w:val="0"/>
                <w:color w:val="000000"/>
                <w:sz w:val="20"/>
              </w:rPr>
              <w:t>105-125</w:t>
            </w:r>
          </w:p>
        </w:tc>
        <w:tc>
          <w:tcPr>
            <w:tcW w:type="dxa" w:w="1247"/>
          </w:tcPr>
          <w:p>
            <w:pPr>
              <w:jc w:val="left"/>
            </w:pPr>
            <w:r/>
            <w:r>
              <w:rPr>
                <w:rFonts w:ascii="Arial" w:hAnsi="Arial" w:eastAsia="Arial"/>
                <w:b w:val="0"/>
                <w:i w:val="0"/>
                <w:color w:val="000000"/>
                <w:sz w:val="20"/>
              </w:rPr>
              <w:t>Секторні податки + зарплати + ПДВ + локалізація</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Методична примітка: таблиця не є бюджетним прогнозом. Вона показує, де секторні траєкторії формують потенційну податкову базу для подальшого макрофінансового блоку. [1]</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Призначення</w:t>
            </w:r>
          </w:p>
        </w:tc>
        <w:tc>
          <w:tcPr>
            <w:tcW w:type="dxa" w:w="5102"/>
          </w:tcPr>
          <w:p>
            <w:pPr>
              <w:jc w:val="left"/>
            </w:pPr>
            <w:r/>
            <w:r>
              <w:rPr>
                <w:rFonts w:ascii="Arial" w:hAnsi="Arial" w:eastAsia="Arial"/>
                <w:b w:val="0"/>
                <w:i w:val="0"/>
                <w:color w:val="000000"/>
                <w:sz w:val="20"/>
              </w:rPr>
              <w:t>Показати взаємозалежність чотирьох каналів без злиття їх у один показник.</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Виробничі індекси, експортні індекси, кадрова реалізованість, фіскальна база, джерела національних рахунків і бюджетних даних.</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агрегації</w:t>
            </w:r>
          </w:p>
        </w:tc>
        <w:tc>
          <w:tcPr>
            <w:tcW w:type="dxa" w:w="5102"/>
          </w:tcPr>
          <w:p>
            <w:pPr>
              <w:jc w:val="left"/>
            </w:pPr>
            <w:r/>
            <w:r>
              <w:rPr>
                <w:rFonts w:ascii="Arial" w:hAnsi="Arial" w:eastAsia="Arial"/>
                <w:b w:val="0"/>
                <w:i w:val="0"/>
                <w:color w:val="000000"/>
                <w:sz w:val="20"/>
              </w:rPr>
              <w:t>Канали читаються паралельно: сектор може мати високий виробничий потенціал, але низьку експортну спроможність або кадрове обмеження.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джерел</w:t>
            </w:r>
          </w:p>
        </w:tc>
        <w:tc>
          <w:tcPr>
            <w:tcW w:type="dxa" w:w="5102"/>
          </w:tcPr>
          <w:p>
            <w:pPr>
              <w:jc w:val="left"/>
            </w:pPr>
            <w:r/>
            <w:r>
              <w:rPr>
                <w:rFonts w:ascii="Arial" w:hAnsi="Arial" w:eastAsia="Arial"/>
                <w:b w:val="0"/>
                <w:i w:val="0"/>
                <w:color w:val="000000"/>
                <w:sz w:val="20"/>
              </w:rPr>
              <w:t>Фіскальні твердження прив’язуються до бюджетних і національних рахунків через , , та секторні джерела.: STAT_ВВП_за_виробничим_методом.xlsx; STAT_ВВП_за_розподільчим_методом.xlsx; MINFIN__Ukraine_Budget_Full.xlsx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Висока виробнича траєкторія не гарантує високого бюджетного ефекту без прибутковості, зарплат і локалізації.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Найсильніший сигнал - узгоджене зростання всіх чотирьох каналів.</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Консолідований погляд на чотири траєкторії</w:t>
      </w:r>
    </w:p>
    <w:p>
      <w:pPr>
        <w:jc w:val="both"/>
      </w:pPr>
      <w:r>
        <w:rPr>
          <w:rFonts w:ascii="Arial" w:hAnsi="Arial" w:eastAsia="Arial"/>
          <w:b w:val="0"/>
          <w:i w:val="0"/>
          <w:color w:val="000000"/>
          <w:sz w:val="24"/>
        </w:rPr>
        <w:t>Виробнича таблиця показує, що матеріальна база може зростати, якщо енергія, активи та капітал доступні. [1] Експортна таблиця показує, що виробництво має бути виведене на ринки через логістику, стандарти і товарну структуру. Зайнятісна таблиця показує, що навіть найкращі інвестиції потребують людей.</w:t>
      </w:r>
    </w:p>
    <w:p>
      <w:pPr>
        <w:jc w:val="both"/>
      </w:pPr>
      <w:r>
        <w:rPr>
          <w:rFonts w:ascii="Arial" w:hAnsi="Arial" w:eastAsia="Arial"/>
          <w:b w:val="0"/>
          <w:i w:val="0"/>
          <w:color w:val="000000"/>
          <w:sz w:val="24"/>
        </w:rPr>
        <w:t>У металургії ці чотири траєкторії можуть рухатися нерівномірно. [1] Виробництво може зростати після стабілізації енергетики і логістики, але експорт залишатиметься обмеженим, якщо CBAM, порти або ціни зменшують маржу. Зайнятість може не повернутися до старих рівнів через модернізацію і втрату активів, але фіскальна база може зміцнюватися через продукцію з вищою доданою вартістю.</w:t>
      </w:r>
    </w:p>
    <w:p>
      <w:pPr>
        <w:jc w:val="both"/>
      </w:pPr>
      <w:r>
        <w:rPr>
          <w:rFonts w:ascii="Arial" w:hAnsi="Arial" w:eastAsia="Arial"/>
          <w:b w:val="0"/>
          <w:i w:val="0"/>
          <w:color w:val="000000"/>
          <w:sz w:val="24"/>
        </w:rPr>
        <w:t>В енергетиці чотири траєкторії взагалі мають особливу структуру. [1] Виробничий сигнал енергетики є умовою для інших секторів, експортний канал для неї другорядний, зайнятість важлива через ремонтні, мережеві та інженерні команди, а фіскальна база пов’язана з тарифами, імпортом, субсидіями і інвестиціями.</w:t>
      </w:r>
    </w:p>
    <w:p>
      <w:pPr>
        <w:jc w:val="both"/>
      </w:pPr>
      <w:r>
        <w:rPr>
          <w:rFonts w:ascii="Arial" w:hAnsi="Arial" w:eastAsia="Arial"/>
          <w:b w:val="0"/>
          <w:i w:val="0"/>
          <w:color w:val="000000"/>
          <w:sz w:val="24"/>
        </w:rPr>
        <w:t>У хімічній промисловості виробнича траєкторія має найсильнішу залежність від газу, електроенергії та внутрішнього аграрного попиту. [1] Експортна траєкторія може бути слабшою, якщо базові продукти програють за собівартістю. Зайнятісна траєкторія залежить від збереження технологів, операторів і лабораторних компетенцій. Фіскальна траєкторія стає суттєвішою, коли сектор переходить від виживання окремих активів до стабільної інтеграції з агро, фармацевтикою, екологічними стандартами і новими матеріалами.</w:t>
      </w:r>
    </w:p>
    <w:p>
      <w:pPr>
        <w:jc w:val="both"/>
      </w:pPr>
      <w:r>
        <w:rPr>
          <w:rFonts w:ascii="Arial" w:hAnsi="Arial" w:eastAsia="Arial"/>
          <w:b w:val="0"/>
          <w:i w:val="0"/>
          <w:color w:val="000000"/>
          <w:sz w:val="24"/>
        </w:rPr>
        <w:t>У машинобудуванні головна різниця проходить між оборонною динамікою і цивільною серійністю. [1] Оборонний попит може швидко піднімати частину виробництва, але не гарантує відновлення всієї промислової матриці. Для цього блоку трансформаційна траєкторія машинобудування означає перехід від точкових оборонних ніш до ширшої локалізації компонентів, енергетичного обладнання, транспорту, аграрної техніки, ремонту, сервісу і експортних виробів.</w:t>
      </w:r>
    </w:p>
    <w:p>
      <w:pPr>
        <w:jc w:val="both"/>
      </w:pPr>
      <w:r>
        <w:rPr>
          <w:rFonts w:ascii="Arial" w:hAnsi="Arial" w:eastAsia="Arial"/>
          <w:b w:val="0"/>
          <w:i w:val="0"/>
          <w:color w:val="000000"/>
          <w:sz w:val="24"/>
        </w:rPr>
        <w:t>У будівництві виробництво, зайнятість і фіскальна база можуть зростати швидше за експорт, бо сектор переважно обслуговує внутрішній попит. [1] Але цей попит не є автоматичним. Якщо проєктна готовність, фінансування, закупівлі, матеріали, кадри і енергія відстають, великий портфель потреб не переходить у реальні роботи. Тому в таблицях V1 будівництво має високу зайнятісну і фіскальну роль, але його виробнича траєкторія залежить від вузла “потреба - проект - фінансування - виконання”.</w:t>
      </w:r>
    </w:p>
    <w:p>
      <w:pPr>
        <w:jc w:val="both"/>
      </w:pPr>
      <w:r>
        <w:rPr>
          <w:rFonts w:ascii="Arial" w:hAnsi="Arial" w:eastAsia="Arial"/>
          <w:b w:val="0"/>
          <w:i w:val="0"/>
          <w:color w:val="000000"/>
          <w:sz w:val="24"/>
        </w:rPr>
        <w:t>В агропромисловому комплексі експортний канал може виглядати сильнішим за промисловий, якщо країна залишається в сировинній логіці. [1] Для цього блоку цього недостатньо. Стійка траєкторія до 2035 року передбачає, що аграрна валютна база поступово підсилює переробку, добрива, машинобудівні сервіси, логістику, холодні ланцюги і харчову промисловість.</w:t>
      </w:r>
    </w:p>
    <w:p>
      <w:pPr>
        <w:jc w:val="both"/>
      </w:pPr>
      <w:r>
        <w:rPr>
          <w:rFonts w:ascii="Arial" w:hAnsi="Arial" w:eastAsia="Arial"/>
          <w:b w:val="0"/>
          <w:i w:val="0"/>
          <w:color w:val="000000"/>
          <w:sz w:val="24"/>
        </w:rPr>
        <w:t>Людський капітал проходить через усі ці траєкторії. [1] Якщо люди не повертаються, не мають житла, не мають професійної підготовки або не можуть переїхати до місця роботи, жодна виробнича таблиця не реалізується повністю. Тому V1 ставить кадровий канал поряд із виробництвом, експортом і фіскальною базою.</w:t>
      </w:r>
    </w:p>
    <w:p>
      <w:pPr>
        <w:jc w:val="both"/>
      </w:pPr>
      <w:r>
        <w:rPr>
          <w:rFonts w:ascii="Arial" w:hAnsi="Arial" w:eastAsia="Arial"/>
          <w:b w:val="0"/>
          <w:i w:val="0"/>
          <w:color w:val="000000"/>
          <w:sz w:val="24"/>
        </w:rPr>
        <w:t>Фінальний консолідований погляд такий: [1] верхні межі таблиць V1 досяжні лише тоді, коли чотири канали рухаються одночасно. Якщо виробництво зростає без експорту, країна отримує складські залишки або низьку маржу. Якщо експорт зростає без переробки, країна підтримує валюту, але недоотримує додану вартість. Якщо зайнятість не зростає, виробничі плани не виконуються. Якщо фіскальна база не поглиблюється, промислове відновлення не зміцнює бюджетну стійкість. Саме цю синхронізацію і фіксує V1.</w:t>
      </w:r>
    </w:p>
    <w:p>
      <w:pPr>
        <w:pStyle w:val="Heading1"/>
      </w:pPr>
      <w:r>
        <w:rPr>
          <w:rFonts w:ascii="Arial" w:hAnsi="Arial" w:eastAsia="Arial"/>
          <w:b/>
          <w:i w:val="0"/>
          <w:color w:val="000000"/>
          <w:sz w:val="44"/>
        </w:rPr>
        <w:t>Карта міжсекторних вузьких місць</w:t>
      </w:r>
    </w:p>
    <w:p>
      <w:pPr>
        <w:jc w:val="both"/>
      </w:pPr>
      <w:r>
        <w:rPr>
          <w:rFonts w:ascii="Arial" w:hAnsi="Arial" w:eastAsia="Arial"/>
          <w:b w:val="0"/>
          <w:i w:val="0"/>
          <w:color w:val="000000"/>
          <w:sz w:val="24"/>
        </w:rPr>
        <w:t>Якщо вузьке місце не усунуто, сильний секторний сигнал може не перейти у загальний результат. [1] Енергетика, логістика, праця, тарифи, капітал, страхування, проєктна готовність і стандарти є типовими горизонтальними вузлами V1.</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Вузьке місце</w:t>
            </w:r>
          </w:p>
        </w:tc>
        <w:tc>
          <w:tcPr>
            <w:tcW w:type="dxa" w:w="1247"/>
          </w:tcPr>
          <w:p>
            <w:pPr>
              <w:jc w:val="left"/>
            </w:pPr>
            <w:r/>
            <w:r>
              <w:rPr>
                <w:rFonts w:ascii="Arial" w:hAnsi="Arial" w:eastAsia="Arial"/>
                <w:b/>
                <w:i w:val="0"/>
                <w:color w:val="000000"/>
                <w:sz w:val="20"/>
              </w:rPr>
              <w:t>Сектори впливу</w:t>
            </w:r>
          </w:p>
        </w:tc>
        <w:tc>
          <w:tcPr>
            <w:tcW w:type="dxa" w:w="1247"/>
          </w:tcPr>
          <w:p>
            <w:pPr>
              <w:jc w:val="left"/>
            </w:pPr>
            <w:r/>
            <w:r>
              <w:rPr>
                <w:rFonts w:ascii="Arial" w:hAnsi="Arial" w:eastAsia="Arial"/>
                <w:b/>
                <w:i w:val="0"/>
                <w:color w:val="000000"/>
                <w:sz w:val="20"/>
              </w:rPr>
              <w:t>Механізм передачі</w:t>
            </w:r>
          </w:p>
        </w:tc>
        <w:tc>
          <w:tcPr>
            <w:tcW w:type="dxa" w:w="1247"/>
          </w:tcPr>
          <w:p>
            <w:pPr>
              <w:jc w:val="left"/>
            </w:pPr>
            <w:r/>
            <w:r>
              <w:rPr>
                <w:rFonts w:ascii="Arial" w:hAnsi="Arial" w:eastAsia="Arial"/>
                <w:b/>
                <w:i w:val="0"/>
                <w:color w:val="000000"/>
                <w:sz w:val="20"/>
              </w:rPr>
              <w:t>Показник спостереження</w:t>
            </w:r>
          </w:p>
        </w:tc>
        <w:tc>
          <w:tcPr>
            <w:tcW w:type="dxa" w:w="1247"/>
          </w:tcPr>
          <w:p>
            <w:pPr>
              <w:jc w:val="left"/>
            </w:pPr>
            <w:r/>
            <w:r>
              <w:rPr>
                <w:rFonts w:ascii="Arial" w:hAnsi="Arial" w:eastAsia="Arial"/>
                <w:b/>
                <w:i w:val="0"/>
                <w:color w:val="000000"/>
                <w:sz w:val="20"/>
              </w:rPr>
              <w:t>SourceID / GraphID</w:t>
            </w:r>
          </w:p>
        </w:tc>
        <w:tc>
          <w:tcPr>
            <w:tcW w:type="dxa" w:w="1247"/>
          </w:tcPr>
          <w:p>
            <w:pPr>
              <w:jc w:val="left"/>
            </w:pPr>
            <w:r/>
            <w:r>
              <w:rPr>
                <w:rFonts w:ascii="Arial" w:hAnsi="Arial" w:eastAsia="Arial"/>
                <w:b/>
                <w:i w:val="0"/>
                <w:color w:val="000000"/>
                <w:sz w:val="20"/>
              </w:rPr>
              <w:t>Запобіжник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Доступність електроенергії</w:t>
            </w:r>
          </w:p>
        </w:tc>
        <w:tc>
          <w:tcPr>
            <w:tcW w:type="dxa" w:w="1247"/>
          </w:tcPr>
          <w:p>
            <w:pPr>
              <w:jc w:val="left"/>
            </w:pPr>
            <w:r/>
            <w:r>
              <w:rPr>
                <w:rFonts w:ascii="Arial" w:hAnsi="Arial" w:eastAsia="Arial"/>
                <w:b w:val="0"/>
                <w:i w:val="0"/>
                <w:color w:val="000000"/>
                <w:sz w:val="20"/>
              </w:rPr>
              <w:t>Металургія, хімія, будматеріали, машинобудування, агро</w:t>
            </w:r>
          </w:p>
        </w:tc>
        <w:tc>
          <w:tcPr>
            <w:tcW w:type="dxa" w:w="1247"/>
          </w:tcPr>
          <w:p>
            <w:pPr>
              <w:jc w:val="left"/>
            </w:pPr>
            <w:r/>
            <w:r>
              <w:rPr>
                <w:rFonts w:ascii="Arial" w:hAnsi="Arial" w:eastAsia="Arial"/>
                <w:b w:val="0"/>
                <w:i w:val="0"/>
                <w:color w:val="000000"/>
                <w:sz w:val="20"/>
              </w:rPr>
              <w:t>Зупинки, дорожча собівартість, генератори, імпорт</w:t>
            </w:r>
          </w:p>
        </w:tc>
        <w:tc>
          <w:tcPr>
            <w:tcW w:type="dxa" w:w="1247"/>
          </w:tcPr>
          <w:p>
            <w:pPr>
              <w:jc w:val="left"/>
            </w:pPr>
            <w:r/>
            <w:r>
              <w:rPr>
                <w:rFonts w:ascii="Arial" w:hAnsi="Arial" w:eastAsia="Arial"/>
                <w:b w:val="0"/>
                <w:i w:val="0"/>
                <w:color w:val="000000"/>
                <w:sz w:val="20"/>
              </w:rPr>
              <w:t>Імпорт, аварійність, промислові тарифи</w:t>
            </w:r>
          </w:p>
        </w:tc>
        <w:tc>
          <w:tcPr>
            <w:tcW w:type="dxa" w:w="1247"/>
          </w:tcPr>
          <w:p>
            <w:pPr>
              <w:jc w:val="left"/>
            </w:pPr>
            <w:r/>
            <w:r>
              <w:rPr>
                <w:rFonts w:ascii="Arial" w:hAnsi="Arial" w:eastAsia="Arial"/>
                <w:b w:val="0"/>
                <w:i w:val="0"/>
                <w:color w:val="000000"/>
                <w:sz w:val="20"/>
              </w:rPr>
              <w:t>A2-G01, A2-G04: NV; Reuters; NPC Ukrenergo</w:t>
            </w:r>
          </w:p>
        </w:tc>
        <w:tc>
          <w:tcPr>
            <w:tcW w:type="dxa" w:w="1247"/>
          </w:tcPr>
          <w:p>
            <w:pPr>
              <w:jc w:val="left"/>
            </w:pPr>
            <w:r/>
            <w:r>
              <w:rPr>
                <w:rFonts w:ascii="Arial" w:hAnsi="Arial" w:eastAsia="Arial"/>
                <w:b w:val="0"/>
                <w:i w:val="0"/>
                <w:color w:val="000000"/>
                <w:sz w:val="20"/>
              </w:rPr>
              <w:t>Захист генерації, імпортна спроможність, передбачувані тарифи, промислова енергоефективність.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Промислові тарифи і газ</w:t>
            </w:r>
          </w:p>
        </w:tc>
        <w:tc>
          <w:tcPr>
            <w:tcW w:type="dxa" w:w="1247"/>
          </w:tcPr>
          <w:p>
            <w:pPr>
              <w:jc w:val="left"/>
            </w:pPr>
            <w:r/>
            <w:r>
              <w:rPr>
                <w:rFonts w:ascii="Arial" w:hAnsi="Arial" w:eastAsia="Arial"/>
                <w:b w:val="0"/>
                <w:i w:val="0"/>
                <w:color w:val="000000"/>
                <w:sz w:val="20"/>
              </w:rPr>
              <w:t>Металургія, хімія, будматеріали, агро</w:t>
            </w:r>
          </w:p>
        </w:tc>
        <w:tc>
          <w:tcPr>
            <w:tcW w:type="dxa" w:w="1247"/>
          </w:tcPr>
          <w:p>
            <w:pPr>
              <w:jc w:val="left"/>
            </w:pPr>
            <w:r/>
            <w:r>
              <w:rPr>
                <w:rFonts w:ascii="Arial" w:hAnsi="Arial" w:eastAsia="Arial"/>
                <w:b w:val="0"/>
                <w:i w:val="0"/>
                <w:color w:val="000000"/>
                <w:sz w:val="20"/>
              </w:rPr>
              <w:t>Стиск маржі, відкладення запусків, втрата конкурентності</w:t>
            </w:r>
          </w:p>
        </w:tc>
        <w:tc>
          <w:tcPr>
            <w:tcW w:type="dxa" w:w="1247"/>
          </w:tcPr>
          <w:p>
            <w:pPr>
              <w:jc w:val="left"/>
            </w:pPr>
            <w:r/>
            <w:r>
              <w:rPr>
                <w:rFonts w:ascii="Arial" w:hAnsi="Arial" w:eastAsia="Arial"/>
                <w:b w:val="0"/>
                <w:i w:val="0"/>
                <w:color w:val="000000"/>
                <w:sz w:val="20"/>
              </w:rPr>
              <w:t>Ціни електроенергії та газу для непобутових споживачів</w:t>
            </w:r>
          </w:p>
        </w:tc>
        <w:tc>
          <w:tcPr>
            <w:tcW w:type="dxa" w:w="1247"/>
          </w:tcPr>
          <w:p>
            <w:pPr>
              <w:jc w:val="left"/>
            </w:pPr>
            <w:r/>
            <w:r>
              <w:rPr>
                <w:rFonts w:ascii="Arial" w:hAnsi="Arial" w:eastAsia="Arial"/>
                <w:b w:val="0"/>
                <w:i w:val="0"/>
                <w:color w:val="000000"/>
                <w:sz w:val="20"/>
              </w:rPr>
              <w:t>A1-G07, B3-G07: GMK Center; European Commission (Eurostat)</w:t>
            </w:r>
          </w:p>
        </w:tc>
        <w:tc>
          <w:tcPr>
            <w:tcW w:type="dxa" w:w="1247"/>
          </w:tcPr>
          <w:p>
            <w:pPr>
              <w:jc w:val="left"/>
            </w:pPr>
            <w:r/>
            <w:r>
              <w:rPr>
                <w:rFonts w:ascii="Arial" w:hAnsi="Arial" w:eastAsia="Arial"/>
                <w:b w:val="0"/>
                <w:i w:val="0"/>
                <w:color w:val="000000"/>
                <w:sz w:val="20"/>
              </w:rPr>
              <w:t>Тарифний коридор, прозора компенсаційна рамка, інвестиції у власну генерацію.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Порти, залізниця і кордони</w:t>
            </w:r>
          </w:p>
        </w:tc>
        <w:tc>
          <w:tcPr>
            <w:tcW w:type="dxa" w:w="1247"/>
          </w:tcPr>
          <w:p>
            <w:pPr>
              <w:jc w:val="left"/>
            </w:pPr>
            <w:r/>
            <w:r>
              <w:rPr>
                <w:rFonts w:ascii="Arial" w:hAnsi="Arial" w:eastAsia="Arial"/>
                <w:b w:val="0"/>
                <w:i w:val="0"/>
                <w:color w:val="000000"/>
                <w:sz w:val="20"/>
              </w:rPr>
              <w:t>АПК, металургія, хімія, машинобудування, будівництво</w:t>
            </w:r>
          </w:p>
        </w:tc>
        <w:tc>
          <w:tcPr>
            <w:tcW w:type="dxa" w:w="1247"/>
          </w:tcPr>
          <w:p>
            <w:pPr>
              <w:jc w:val="left"/>
            </w:pPr>
            <w:r/>
            <w:r>
              <w:rPr>
                <w:rFonts w:ascii="Arial" w:hAnsi="Arial" w:eastAsia="Arial"/>
                <w:b w:val="0"/>
                <w:i w:val="0"/>
                <w:color w:val="000000"/>
                <w:sz w:val="20"/>
              </w:rPr>
              <w:t>Вища логістична ціна, довші строки, нижча експортна виручка</w:t>
            </w:r>
          </w:p>
        </w:tc>
        <w:tc>
          <w:tcPr>
            <w:tcW w:type="dxa" w:w="1247"/>
          </w:tcPr>
          <w:p>
            <w:pPr>
              <w:jc w:val="left"/>
            </w:pPr>
            <w:r/>
            <w:r>
              <w:rPr>
                <w:rFonts w:ascii="Arial" w:hAnsi="Arial" w:eastAsia="Arial"/>
                <w:b w:val="0"/>
                <w:i w:val="0"/>
                <w:color w:val="000000"/>
                <w:sz w:val="20"/>
              </w:rPr>
              <w:t>Портова перевалка, черги, тарифні рішення</w:t>
            </w:r>
          </w:p>
        </w:tc>
        <w:tc>
          <w:tcPr>
            <w:tcW w:type="dxa" w:w="1247"/>
          </w:tcPr>
          <w:p>
            <w:pPr>
              <w:jc w:val="left"/>
            </w:pPr>
            <w:r/>
            <w:r>
              <w:rPr>
                <w:rFonts w:ascii="Arial" w:hAnsi="Arial" w:eastAsia="Arial"/>
                <w:b w:val="0"/>
                <w:i w:val="0"/>
                <w:color w:val="000000"/>
                <w:sz w:val="20"/>
              </w:rPr>
              <w:t>A0-G05, B2-G09: GMK Center; Ukraine Fourth Rapid</w:t>
            </w:r>
          </w:p>
        </w:tc>
        <w:tc>
          <w:tcPr>
            <w:tcW w:type="dxa" w:w="1247"/>
          </w:tcPr>
          <w:p>
            <w:pPr>
              <w:jc w:val="left"/>
            </w:pPr>
            <w:r/>
            <w:r>
              <w:rPr>
                <w:rFonts w:ascii="Arial" w:hAnsi="Arial" w:eastAsia="Arial"/>
                <w:b w:val="0"/>
                <w:i w:val="0"/>
                <w:color w:val="000000"/>
                <w:sz w:val="20"/>
              </w:rPr>
              <w:t>Стійкі маршрути, Дунай, євроколія, страхування логістики, цифрові коридори.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Кадровий дефіцит</w:t>
            </w:r>
          </w:p>
        </w:tc>
        <w:tc>
          <w:tcPr>
            <w:tcW w:type="dxa" w:w="1247"/>
          </w:tcPr>
          <w:p>
            <w:pPr>
              <w:jc w:val="left"/>
            </w:pPr>
            <w:r/>
            <w:r>
              <w:rPr>
                <w:rFonts w:ascii="Arial" w:hAnsi="Arial" w:eastAsia="Arial"/>
                <w:b w:val="0"/>
                <w:i w:val="0"/>
                <w:color w:val="000000"/>
                <w:sz w:val="20"/>
              </w:rPr>
              <w:t>Усі сектори</w:t>
            </w:r>
          </w:p>
        </w:tc>
        <w:tc>
          <w:tcPr>
            <w:tcW w:type="dxa" w:w="1247"/>
          </w:tcPr>
          <w:p>
            <w:pPr>
              <w:jc w:val="left"/>
            </w:pPr>
            <w:r/>
            <w:r>
              <w:rPr>
                <w:rFonts w:ascii="Arial" w:hAnsi="Arial" w:eastAsia="Arial"/>
                <w:b w:val="0"/>
                <w:i w:val="0"/>
                <w:color w:val="000000"/>
                <w:sz w:val="20"/>
              </w:rPr>
              <w:t>Нереалізовані інвестиції, затримка проектів, вища зарплатна конкуренція</w:t>
            </w:r>
          </w:p>
        </w:tc>
        <w:tc>
          <w:tcPr>
            <w:tcW w:type="dxa" w:w="1247"/>
          </w:tcPr>
          <w:p>
            <w:pPr>
              <w:jc w:val="left"/>
            </w:pPr>
            <w:r/>
            <w:r>
              <w:rPr>
                <w:rFonts w:ascii="Arial" w:hAnsi="Arial" w:eastAsia="Arial"/>
                <w:b w:val="0"/>
                <w:i w:val="0"/>
                <w:color w:val="000000"/>
                <w:sz w:val="20"/>
              </w:rPr>
              <w:t>Опитування бізнесу, міграція, ВПО, вакансії</w:t>
            </w:r>
          </w:p>
        </w:tc>
        <w:tc>
          <w:tcPr>
            <w:tcW w:type="dxa" w:w="1247"/>
          </w:tcPr>
          <w:p>
            <w:pPr>
              <w:jc w:val="left"/>
            </w:pPr>
            <w:r/>
            <w:r>
              <w:rPr>
                <w:rFonts w:ascii="Arial" w:hAnsi="Arial" w:eastAsia="Arial"/>
                <w:b w:val="0"/>
                <w:i w:val="0"/>
                <w:color w:val="000000"/>
                <w:sz w:val="20"/>
              </w:rPr>
              <w:t>B1-G01, B1-G08: Ukrainian Refugees After; Eurostat; IOM; Ukraine Human Capital; Employer Survey on</w:t>
            </w:r>
          </w:p>
        </w:tc>
        <w:tc>
          <w:tcPr>
            <w:tcW w:type="dxa" w:w="1247"/>
          </w:tcPr>
          <w:p>
            <w:pPr>
              <w:jc w:val="left"/>
            </w:pPr>
            <w:r/>
            <w:r>
              <w:rPr>
                <w:rFonts w:ascii="Arial" w:hAnsi="Arial" w:eastAsia="Arial"/>
                <w:b w:val="0"/>
                <w:i w:val="0"/>
                <w:color w:val="000000"/>
                <w:sz w:val="20"/>
              </w:rPr>
              <w:t>Повернення, навчання, житло, професійна мобільність, доглядова інфраструктура.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Вартість капіталу і страхування ризиків</w:t>
            </w:r>
          </w:p>
        </w:tc>
        <w:tc>
          <w:tcPr>
            <w:tcW w:type="dxa" w:w="1247"/>
          </w:tcPr>
          <w:p>
            <w:pPr>
              <w:jc w:val="left"/>
            </w:pPr>
            <w:r/>
            <w:r>
              <w:rPr>
                <w:rFonts w:ascii="Arial" w:hAnsi="Arial" w:eastAsia="Arial"/>
                <w:b w:val="0"/>
                <w:i w:val="0"/>
                <w:color w:val="000000"/>
                <w:sz w:val="20"/>
              </w:rPr>
              <w:t>Машинобудування, хімія, будматеріали, металургія, енергетика</w:t>
            </w:r>
          </w:p>
        </w:tc>
        <w:tc>
          <w:tcPr>
            <w:tcW w:type="dxa" w:w="1247"/>
          </w:tcPr>
          <w:p>
            <w:pPr>
              <w:jc w:val="left"/>
            </w:pPr>
            <w:r/>
            <w:r>
              <w:rPr>
                <w:rFonts w:ascii="Arial" w:hAnsi="Arial" w:eastAsia="Arial"/>
                <w:b w:val="0"/>
                <w:i w:val="0"/>
                <w:color w:val="000000"/>
                <w:sz w:val="20"/>
              </w:rPr>
              <w:t>Короткий горизонт окупності, відкладені проєкти, недоінвестування</w:t>
            </w:r>
          </w:p>
        </w:tc>
        <w:tc>
          <w:tcPr>
            <w:tcW w:type="dxa" w:w="1247"/>
          </w:tcPr>
          <w:p>
            <w:pPr>
              <w:jc w:val="left"/>
            </w:pPr>
            <w:r/>
            <w:r>
              <w:rPr>
                <w:rFonts w:ascii="Arial" w:hAnsi="Arial" w:eastAsia="Arial"/>
                <w:b w:val="0"/>
                <w:i w:val="0"/>
                <w:color w:val="000000"/>
                <w:sz w:val="20"/>
              </w:rPr>
              <w:t>FDI, ставки, страхові продукти, кредитні умови</w:t>
            </w:r>
          </w:p>
        </w:tc>
        <w:tc>
          <w:tcPr>
            <w:tcW w:type="dxa" w:w="1247"/>
          </w:tcPr>
          <w:p>
            <w:pPr>
              <w:jc w:val="left"/>
            </w:pPr>
            <w:r/>
            <w:r>
              <w:rPr>
                <w:rFonts w:ascii="Arial" w:hAnsi="Arial" w:eastAsia="Arial"/>
                <w:b w:val="0"/>
                <w:i w:val="0"/>
                <w:color w:val="000000"/>
                <w:sz w:val="20"/>
              </w:rPr>
              <w:t>B4-G09: FSR 2025 H1; ukr; GMK Center; IMF</w:t>
            </w:r>
          </w:p>
        </w:tc>
        <w:tc>
          <w:tcPr>
            <w:tcW w:type="dxa" w:w="1247"/>
          </w:tcPr>
          <w:p>
            <w:pPr>
              <w:jc w:val="left"/>
            </w:pPr>
            <w:r/>
            <w:r>
              <w:rPr>
                <w:rFonts w:ascii="Arial" w:hAnsi="Arial" w:eastAsia="Arial"/>
                <w:b w:val="0"/>
                <w:i w:val="0"/>
                <w:color w:val="000000"/>
                <w:sz w:val="20"/>
              </w:rPr>
              <w:t>Де-ризикування, гарантії, страхування воєнних ризиків, довгий капітал.</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Проєктна готовність відбудови</w:t>
            </w:r>
          </w:p>
        </w:tc>
        <w:tc>
          <w:tcPr>
            <w:tcW w:type="dxa" w:w="1247"/>
          </w:tcPr>
          <w:p>
            <w:pPr>
              <w:jc w:val="left"/>
            </w:pPr>
            <w:r/>
            <w:r>
              <w:rPr>
                <w:rFonts w:ascii="Arial" w:hAnsi="Arial" w:eastAsia="Arial"/>
                <w:b w:val="0"/>
                <w:i w:val="0"/>
                <w:color w:val="000000"/>
                <w:sz w:val="20"/>
              </w:rPr>
              <w:t>Будівництво, матеріали, логістика, енергетика</w:t>
            </w:r>
          </w:p>
        </w:tc>
        <w:tc>
          <w:tcPr>
            <w:tcW w:type="dxa" w:w="1247"/>
          </w:tcPr>
          <w:p>
            <w:pPr>
              <w:jc w:val="left"/>
            </w:pPr>
            <w:r/>
            <w:r>
              <w:rPr>
                <w:rFonts w:ascii="Arial" w:hAnsi="Arial" w:eastAsia="Arial"/>
                <w:b w:val="0"/>
                <w:i w:val="0"/>
                <w:color w:val="000000"/>
                <w:sz w:val="20"/>
              </w:rPr>
              <w:t>Попит не переходить у роботи без проектів, кошторисів і процедур</w:t>
            </w:r>
          </w:p>
        </w:tc>
        <w:tc>
          <w:tcPr>
            <w:tcW w:type="dxa" w:w="1247"/>
          </w:tcPr>
          <w:p>
            <w:pPr>
              <w:jc w:val="left"/>
            </w:pPr>
            <w:r/>
            <w:r>
              <w:rPr>
                <w:rFonts w:ascii="Arial" w:hAnsi="Arial" w:eastAsia="Arial"/>
                <w:b w:val="0"/>
                <w:i w:val="0"/>
                <w:color w:val="000000"/>
                <w:sz w:val="20"/>
              </w:rPr>
              <w:t>DREAM, RDNA, фінансування, закупівлі</w:t>
            </w:r>
          </w:p>
        </w:tc>
        <w:tc>
          <w:tcPr>
            <w:tcW w:type="dxa" w:w="1247"/>
          </w:tcPr>
          <w:p>
            <w:pPr>
              <w:jc w:val="left"/>
            </w:pPr>
            <w:r/>
            <w:r>
              <w:rPr>
                <w:rFonts w:ascii="Arial" w:hAnsi="Arial" w:eastAsia="Arial"/>
                <w:b w:val="0"/>
                <w:i w:val="0"/>
                <w:color w:val="000000"/>
                <w:sz w:val="20"/>
              </w:rPr>
              <w:t>A5-G08: DREAM; Ukraine Fifth Rapid</w:t>
            </w:r>
          </w:p>
        </w:tc>
        <w:tc>
          <w:tcPr>
            <w:tcW w:type="dxa" w:w="1247"/>
          </w:tcPr>
          <w:p>
            <w:pPr>
              <w:jc w:val="left"/>
            </w:pPr>
            <w:r/>
            <w:r>
              <w:rPr>
                <w:rFonts w:ascii="Arial" w:hAnsi="Arial" w:eastAsia="Arial"/>
                <w:b w:val="0"/>
                <w:i w:val="0"/>
                <w:color w:val="000000"/>
                <w:sz w:val="20"/>
              </w:rPr>
              <w:t>Пріоритизація, стандартизовані проекти, прозорі закупівлі, локалізація.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Вуглецеві та технічні стандарти</w:t>
            </w:r>
          </w:p>
        </w:tc>
        <w:tc>
          <w:tcPr>
            <w:tcW w:type="dxa" w:w="1247"/>
          </w:tcPr>
          <w:p>
            <w:pPr>
              <w:jc w:val="left"/>
            </w:pPr>
            <w:r/>
            <w:r>
              <w:rPr>
                <w:rFonts w:ascii="Arial" w:hAnsi="Arial" w:eastAsia="Arial"/>
                <w:b w:val="0"/>
                <w:i w:val="0"/>
                <w:color w:val="000000"/>
                <w:sz w:val="20"/>
              </w:rPr>
              <w:t>Металургія, хімія, будматеріали, машинобудування</w:t>
            </w:r>
          </w:p>
        </w:tc>
        <w:tc>
          <w:tcPr>
            <w:tcW w:type="dxa" w:w="1247"/>
          </w:tcPr>
          <w:p>
            <w:pPr>
              <w:jc w:val="left"/>
            </w:pPr>
            <w:r/>
            <w:r>
              <w:rPr>
                <w:rFonts w:ascii="Arial" w:hAnsi="Arial" w:eastAsia="Arial"/>
                <w:b w:val="0"/>
                <w:i w:val="0"/>
                <w:color w:val="000000"/>
                <w:sz w:val="20"/>
              </w:rPr>
              <w:t>Ризик втрати ринків ЄС і потреба модернізації</w:t>
            </w:r>
          </w:p>
        </w:tc>
        <w:tc>
          <w:tcPr>
            <w:tcW w:type="dxa" w:w="1247"/>
          </w:tcPr>
          <w:p>
            <w:pPr>
              <w:jc w:val="left"/>
            </w:pPr>
            <w:r/>
            <w:r>
              <w:rPr>
                <w:rFonts w:ascii="Arial" w:hAnsi="Arial" w:eastAsia="Arial"/>
                <w:b w:val="0"/>
                <w:i w:val="0"/>
                <w:color w:val="000000"/>
                <w:sz w:val="20"/>
              </w:rPr>
              <w:t>CBAM, сертифікація, енергоефективність</w:t>
            </w:r>
          </w:p>
        </w:tc>
        <w:tc>
          <w:tcPr>
            <w:tcW w:type="dxa" w:w="1247"/>
          </w:tcPr>
          <w:p>
            <w:pPr>
              <w:jc w:val="left"/>
            </w:pPr>
            <w:r/>
            <w:r>
              <w:rPr>
                <w:rFonts w:ascii="Arial" w:hAnsi="Arial" w:eastAsia="Arial"/>
                <w:b w:val="0"/>
                <w:i w:val="0"/>
                <w:color w:val="000000"/>
                <w:sz w:val="20"/>
              </w:rPr>
              <w:t>A1-G07: taxation-customs.ec.europa.eu; European Commission</w:t>
            </w:r>
          </w:p>
        </w:tc>
        <w:tc>
          <w:tcPr>
            <w:tcW w:type="dxa" w:w="1247"/>
          </w:tcPr>
          <w:p>
            <w:pPr>
              <w:jc w:val="left"/>
            </w:pPr>
            <w:r/>
            <w:r>
              <w:rPr>
                <w:rFonts w:ascii="Arial" w:hAnsi="Arial" w:eastAsia="Arial"/>
                <w:b w:val="0"/>
                <w:i w:val="0"/>
                <w:color w:val="000000"/>
                <w:sz w:val="20"/>
              </w:rPr>
              <w:t>Звітність, модернізація, зелена енергія, низьковуглецеві технології.</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Невизначеність і запобіжники від подвійного рахунку</w:t>
      </w:r>
    </w:p>
    <w:p>
      <w:pPr>
        <w:jc w:val="both"/>
      </w:pPr>
      <w:r>
        <w:rPr>
          <w:rFonts w:ascii="Arial" w:hAnsi="Arial" w:eastAsia="Arial"/>
          <w:b w:val="0"/>
          <w:i w:val="0"/>
          <w:color w:val="000000"/>
          <w:sz w:val="24"/>
        </w:rPr>
        <w:t>Невизначеність у цьому блоці має три джерела. [1] Перше - неповнота даних: не всі сектори мають однаково довгі, чисті та порівнянні ряди. Друге - воєнний контур: фізичні ризики, енергетичні удари, логістичні збої та міграція можуть різко змінювати траєкторію. Третє - методична межа: секторні джерела часто використовують різні базові роки, ціни, фізичні одиниці та сценарні припущення.</w:t>
      </w:r>
    </w:p>
    <w:p>
      <w:pPr>
        <w:jc w:val="both"/>
      </w:pPr>
      <w:r>
        <w:rPr>
          <w:rFonts w:ascii="Arial" w:hAnsi="Arial" w:eastAsia="Arial"/>
          <w:b w:val="0"/>
          <w:i w:val="0"/>
          <w:color w:val="000000"/>
          <w:sz w:val="24"/>
        </w:rPr>
        <w:t>Подвійний рахунок виникає тоді, коли одна економічна величина входить у зведення двічі. [1] Наприклад, метал може бути одночасно виробничим випуском металургії і вхідним матеріалом будівництва; електроенергія може бути випуском енергетики і витратою хімії; логістичний тариф може бути доходом транспорту і витратою експортера; зарплата може входити і в зайнятість, і в податкову базу.</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Призначення</w:t>
            </w:r>
          </w:p>
        </w:tc>
        <w:tc>
          <w:tcPr>
            <w:tcW w:type="dxa" w:w="5102"/>
          </w:tcPr>
          <w:p>
            <w:pPr>
              <w:jc w:val="left"/>
            </w:pPr>
            <w:r/>
            <w:r>
              <w:rPr>
                <w:rFonts w:ascii="Arial" w:hAnsi="Arial" w:eastAsia="Arial"/>
                <w:b w:val="0"/>
                <w:i w:val="0"/>
                <w:color w:val="000000"/>
                <w:sz w:val="20"/>
              </w:rPr>
              <w:t>Захистити зведені таблиці від повторного врахування одного економічного ефекту.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Секторний випуск, проміжне споживання, експорт, зарплати, податки, логістичні витрати, інвестиції.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агрегації</w:t>
            </w:r>
          </w:p>
        </w:tc>
        <w:tc>
          <w:tcPr>
            <w:tcW w:type="dxa" w:w="5102"/>
          </w:tcPr>
          <w:p>
            <w:pPr>
              <w:jc w:val="left"/>
            </w:pPr>
            <w:r/>
            <w:r>
              <w:rPr>
                <w:rFonts w:ascii="Arial" w:hAnsi="Arial" w:eastAsia="Arial"/>
                <w:b w:val="0"/>
                <w:i w:val="0"/>
                <w:color w:val="000000"/>
                <w:sz w:val="20"/>
              </w:rPr>
              <w:t>Вхідний ресурс одного сектору не додається вдруге як чистий результат іншого сектору. Для кожного каналу фіксується, чи показник є випуском, витратою, доходом, податком або обмеженням.</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джерел</w:t>
            </w:r>
          </w:p>
        </w:tc>
        <w:tc>
          <w:tcPr>
            <w:tcW w:type="dxa" w:w="5102"/>
          </w:tcPr>
          <w:p>
            <w:pPr>
              <w:jc w:val="left"/>
            </w:pPr>
            <w:r/>
            <w:r>
              <w:rPr>
                <w:rFonts w:ascii="Arial" w:hAnsi="Arial" w:eastAsia="Arial"/>
                <w:b w:val="0"/>
                <w:i w:val="0"/>
                <w:color w:val="000000"/>
                <w:sz w:val="20"/>
              </w:rPr>
              <w:t>Коли показник наближається до національних рахунків, використовується прив’язка до виробничого, розподільчого або бюджетного джерела.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Неповні або змішані ряди позначаються як діапазон, а не як точна сума.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Читач бачить, де V1 агрегує, а де лише передає сигнал до наступного макророзрахунку.</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Елемент</w:t>
            </w:r>
          </w:p>
        </w:tc>
        <w:tc>
          <w:tcPr>
            <w:tcW w:type="dxa" w:w="5102"/>
          </w:tcPr>
          <w:p>
            <w:pPr>
              <w:jc w:val="left"/>
            </w:pPr>
            <w:r/>
            <w:r>
              <w:rPr>
                <w:rFonts w:ascii="Arial" w:hAnsi="Arial" w:eastAsia="Arial"/>
                <w:b/>
                <w:i w:val="0"/>
                <w:color w:val="000000"/>
                <w:sz w:val="20"/>
              </w:rPr>
              <w:t>Пояснення</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Призначення</w:t>
            </w:r>
          </w:p>
        </w:tc>
        <w:tc>
          <w:tcPr>
            <w:tcW w:type="dxa" w:w="5102"/>
          </w:tcPr>
          <w:p>
            <w:pPr>
              <w:jc w:val="left"/>
            </w:pPr>
            <w:r/>
            <w:r>
              <w:rPr>
                <w:rFonts w:ascii="Arial" w:hAnsi="Arial" w:eastAsia="Arial"/>
                <w:b w:val="0"/>
                <w:i w:val="0"/>
                <w:color w:val="000000"/>
                <w:sz w:val="20"/>
              </w:rPr>
              <w:t>Пояснити, чому частина значень подана як діапазон і чому це сильніше за псевдоточність.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Вхідні показники</w:t>
            </w:r>
          </w:p>
        </w:tc>
        <w:tc>
          <w:tcPr>
            <w:tcW w:type="dxa" w:w="5102"/>
          </w:tcPr>
          <w:p>
            <w:pPr>
              <w:jc w:val="left"/>
            </w:pPr>
            <w:r/>
            <w:r>
              <w:rPr>
                <w:rFonts w:ascii="Arial" w:hAnsi="Arial" w:eastAsia="Arial"/>
                <w:b w:val="0"/>
                <w:i w:val="0"/>
                <w:color w:val="000000"/>
                <w:sz w:val="20"/>
              </w:rPr>
              <w:t>Джерельна якість, історична глибина, воєнна чутливість, порівнянність одиниць, стабільність базового року.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агрегації</w:t>
            </w:r>
          </w:p>
        </w:tc>
        <w:tc>
          <w:tcPr>
            <w:tcW w:type="dxa" w:w="5102"/>
          </w:tcPr>
          <w:p>
            <w:pPr>
              <w:jc w:val="left"/>
            </w:pPr>
            <w:r/>
            <w:r>
              <w:rPr>
                <w:rFonts w:ascii="Arial" w:hAnsi="Arial" w:eastAsia="Arial"/>
                <w:b w:val="0"/>
                <w:i w:val="0"/>
                <w:color w:val="000000"/>
                <w:sz w:val="20"/>
              </w:rPr>
              <w:t>Висока впевненість означає наявність довгого ряду або кількох узгоджених джерел. Середня - наявність секторного ряду з caveat. Низька - потребу в подальшій нормалізації або експертному уточненні.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Правило джерел</w:t>
            </w:r>
          </w:p>
        </w:tc>
        <w:tc>
          <w:tcPr>
            <w:tcW w:type="dxa" w:w="5102"/>
          </w:tcPr>
          <w:p>
            <w:pPr>
              <w:jc w:val="left"/>
            </w:pPr>
            <w:r/>
            <w:r>
              <w:rPr>
                <w:rFonts w:ascii="Arial" w:hAnsi="Arial" w:eastAsia="Arial"/>
                <w:b w:val="0"/>
                <w:i w:val="0"/>
                <w:color w:val="000000"/>
                <w:sz w:val="20"/>
              </w:rPr>
              <w:t>SourceID і GraphID показують шлях перевірки; якщо граф має source-normalization caveat, це зазначається у таблиці.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Невизначеність не є відмовою від прогнозу; це спосіб не приховувати якість вхідних даних.</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Діапазон читається як простір рішень: що ширший діапазон, то важливіший управлінський запобіжник.</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2438"/>
          </w:tcPr>
          <w:p>
            <w:pPr>
              <w:jc w:val="left"/>
            </w:pPr>
            <w:r/>
            <w:r>
              <w:rPr>
                <w:rFonts w:ascii="Arial" w:hAnsi="Arial" w:eastAsia="Arial"/>
                <w:b/>
                <w:i w:val="0"/>
                <w:color w:val="000000"/>
                <w:sz w:val="20"/>
              </w:rPr>
              <w:t>Тип ризику подвійного рахунку</w:t>
            </w:r>
          </w:p>
        </w:tc>
        <w:tc>
          <w:tcPr>
            <w:tcW w:type="dxa" w:w="3685"/>
          </w:tcPr>
          <w:p>
            <w:pPr>
              <w:jc w:val="left"/>
            </w:pPr>
            <w:r/>
            <w:r>
              <w:rPr>
                <w:rFonts w:ascii="Arial" w:hAnsi="Arial" w:eastAsia="Arial"/>
                <w:b/>
                <w:i w:val="0"/>
                <w:color w:val="000000"/>
                <w:sz w:val="20"/>
              </w:rPr>
              <w:t>Приклад у цьому блоці</w:t>
            </w:r>
          </w:p>
        </w:tc>
        <w:tc>
          <w:tcPr>
            <w:tcW w:type="dxa" w:w="2381"/>
          </w:tcPr>
          <w:p>
            <w:pPr>
              <w:jc w:val="left"/>
            </w:pPr>
            <w:r/>
            <w:r>
              <w:rPr>
                <w:rFonts w:ascii="Arial" w:hAnsi="Arial" w:eastAsia="Arial"/>
                <w:b/>
                <w:i w:val="0"/>
                <w:color w:val="000000"/>
                <w:sz w:val="20"/>
              </w:rPr>
              <w:t>Як контролюється</w:t>
            </w:r>
          </w:p>
        </w:tc>
        <w:tc>
          <w:tcPr>
            <w:tcW w:type="dxa" w:w="850"/>
          </w:tcPr>
          <w:p>
            <w:pPr>
              <w:jc w:val="left"/>
            </w:pPr>
            <w:r/>
            <w:r>
              <w:rPr>
                <w:rFonts w:ascii="Arial" w:hAnsi="Arial" w:eastAsia="Arial"/>
                <w:b/>
                <w:i w:val="0"/>
                <w:color w:val="000000"/>
                <w:sz w:val="20"/>
              </w:rPr>
              <w:t>Опора</w:t>
            </w:r>
          </w:p>
        </w:tc>
      </w:tr>
      <w:tr>
        <w:tc>
          <w:tcPr>
            <w:tcW w:type="dxa" w:w="2438"/>
          </w:tcPr>
          <w:p>
            <w:pPr>
              <w:jc w:val="left"/>
            </w:pPr>
            <w:r/>
            <w:r>
              <w:rPr>
                <w:rFonts w:ascii="Arial" w:hAnsi="Arial" w:eastAsia="Arial"/>
                <w:b w:val="0"/>
                <w:i w:val="0"/>
                <w:color w:val="000000"/>
                <w:sz w:val="20"/>
              </w:rPr>
              <w:t>Випуск проти проміжного споживання</w:t>
            </w:r>
          </w:p>
        </w:tc>
        <w:tc>
          <w:tcPr>
            <w:tcW w:type="dxa" w:w="3685"/>
          </w:tcPr>
          <w:p>
            <w:pPr>
              <w:jc w:val="left"/>
            </w:pPr>
            <w:r/>
            <w:r>
              <w:rPr>
                <w:rFonts w:ascii="Arial" w:hAnsi="Arial" w:eastAsia="Arial"/>
                <w:b w:val="0"/>
                <w:i w:val="0"/>
                <w:color w:val="000000"/>
                <w:sz w:val="20"/>
              </w:rPr>
              <w:t>Металургія виробляє сталь, будівництво її споживає.</w:t>
            </w:r>
          </w:p>
        </w:tc>
        <w:tc>
          <w:tcPr>
            <w:tcW w:type="dxa" w:w="2381"/>
          </w:tcPr>
          <w:p>
            <w:pPr>
              <w:jc w:val="left"/>
            </w:pPr>
            <w:r/>
            <w:r>
              <w:rPr>
                <w:rFonts w:ascii="Arial" w:hAnsi="Arial" w:eastAsia="Arial"/>
                <w:b w:val="0"/>
                <w:i w:val="0"/>
                <w:color w:val="000000"/>
                <w:sz w:val="20"/>
              </w:rPr>
              <w:t>Сталь входить у виробничий індекс металургії; у будівництві вона читається як вартісне обмеження матеріалів.</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Енергія як сектор і як витрата</w:t>
            </w:r>
          </w:p>
        </w:tc>
        <w:tc>
          <w:tcPr>
            <w:tcW w:type="dxa" w:w="3685"/>
          </w:tcPr>
          <w:p>
            <w:pPr>
              <w:jc w:val="left"/>
            </w:pPr>
            <w:r/>
            <w:r>
              <w:rPr>
                <w:rFonts w:ascii="Arial" w:hAnsi="Arial" w:eastAsia="Arial"/>
                <w:b w:val="0"/>
                <w:i w:val="0"/>
                <w:color w:val="000000"/>
                <w:sz w:val="20"/>
              </w:rPr>
              <w:t>Енергетика має власні показники, але її ціна впливає на хімію, металургію і матеріали.</w:t>
            </w:r>
          </w:p>
        </w:tc>
        <w:tc>
          <w:tcPr>
            <w:tcW w:type="dxa" w:w="2381"/>
          </w:tcPr>
          <w:p>
            <w:pPr>
              <w:jc w:val="left"/>
            </w:pPr>
            <w:r/>
            <w:r>
              <w:rPr>
                <w:rFonts w:ascii="Arial" w:hAnsi="Arial" w:eastAsia="Arial"/>
                <w:b w:val="0"/>
                <w:i w:val="0"/>
                <w:color w:val="000000"/>
                <w:sz w:val="20"/>
              </w:rPr>
              <w:t>Енергетика має власний коректор, а не додається вдруге до випуску кожного сектору.</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Логістика як послуга і як експортне обмеження</w:t>
            </w:r>
          </w:p>
        </w:tc>
        <w:tc>
          <w:tcPr>
            <w:tcW w:type="dxa" w:w="3685"/>
          </w:tcPr>
          <w:p>
            <w:pPr>
              <w:jc w:val="left"/>
            </w:pPr>
            <w:r/>
            <w:r>
              <w:rPr>
                <w:rFonts w:ascii="Arial" w:hAnsi="Arial" w:eastAsia="Arial"/>
                <w:b w:val="0"/>
                <w:i w:val="0"/>
                <w:color w:val="000000"/>
                <w:sz w:val="20"/>
              </w:rPr>
              <w:t>Портова або залізнична спроможність одночасно створює послугу і зменшує/збільшує виручку експортера.</w:t>
            </w:r>
          </w:p>
        </w:tc>
        <w:tc>
          <w:tcPr>
            <w:tcW w:type="dxa" w:w="2381"/>
          </w:tcPr>
          <w:p>
            <w:pPr>
              <w:jc w:val="left"/>
            </w:pPr>
            <w:r/>
            <w:r>
              <w:rPr>
                <w:rFonts w:ascii="Arial" w:hAnsi="Arial" w:eastAsia="Arial"/>
                <w:b w:val="0"/>
                <w:i w:val="0"/>
                <w:color w:val="000000"/>
                <w:sz w:val="20"/>
              </w:rPr>
              <w:t>У експортному каналі логістика є множником, не окремим експортним секторним випуском.</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Зарплата як зайнятість і податкова база</w:t>
            </w:r>
          </w:p>
        </w:tc>
        <w:tc>
          <w:tcPr>
            <w:tcW w:type="dxa" w:w="3685"/>
          </w:tcPr>
          <w:p>
            <w:pPr>
              <w:jc w:val="left"/>
            </w:pPr>
            <w:r/>
            <w:r>
              <w:rPr>
                <w:rFonts w:ascii="Arial" w:hAnsi="Arial" w:eastAsia="Arial"/>
                <w:b w:val="0"/>
                <w:i w:val="0"/>
                <w:color w:val="000000"/>
                <w:sz w:val="20"/>
              </w:rPr>
              <w:t>ПДФО та ЄСВ залежать від зайнятості, але не є додатковим робочим місцем.</w:t>
            </w:r>
          </w:p>
        </w:tc>
        <w:tc>
          <w:tcPr>
            <w:tcW w:type="dxa" w:w="2381"/>
          </w:tcPr>
          <w:p>
            <w:pPr>
              <w:jc w:val="left"/>
            </w:pPr>
            <w:r/>
            <w:r>
              <w:rPr>
                <w:rFonts w:ascii="Arial" w:hAnsi="Arial" w:eastAsia="Arial"/>
                <w:b w:val="0"/>
                <w:i w:val="0"/>
                <w:color w:val="000000"/>
                <w:sz w:val="20"/>
              </w:rPr>
              <w:t>Зайнятість і фіскальна база читаються паралельно; зарплатні податки не додаються до кількості працівників.</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Відбудова як потреба і як виконані роботи</w:t>
            </w:r>
          </w:p>
        </w:tc>
        <w:tc>
          <w:tcPr>
            <w:tcW w:type="dxa" w:w="3685"/>
          </w:tcPr>
          <w:p>
            <w:pPr>
              <w:jc w:val="left"/>
            </w:pPr>
            <w:r/>
            <w:r>
              <w:rPr>
                <w:rFonts w:ascii="Arial" w:hAnsi="Arial" w:eastAsia="Arial"/>
                <w:b w:val="0"/>
                <w:i w:val="0"/>
                <w:color w:val="000000"/>
                <w:sz w:val="20"/>
              </w:rPr>
              <w:t>RDNA показує потреби, а DREAM і будівельна статистика - готовність і виконання.</w:t>
            </w:r>
          </w:p>
        </w:tc>
        <w:tc>
          <w:tcPr>
            <w:tcW w:type="dxa" w:w="2381"/>
          </w:tcPr>
          <w:p>
            <w:pPr>
              <w:jc w:val="left"/>
            </w:pPr>
            <w:r/>
            <w:r>
              <w:rPr>
                <w:rFonts w:ascii="Arial" w:hAnsi="Arial" w:eastAsia="Arial"/>
                <w:b w:val="0"/>
                <w:i w:val="0"/>
                <w:color w:val="000000"/>
                <w:sz w:val="20"/>
              </w:rPr>
              <w:t>Потреба не прирівнюється до випуску; потрібен окремий статус проєктної та фінансової готовності.</w:t>
            </w:r>
          </w:p>
        </w:tc>
        <w:tc>
          <w:tcPr>
            <w:tcW w:type="dxa" w:w="850"/>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Методична примітка: таблиця контролює логіку агрегації і не є окремим розрахунком втрат. [1]</w:t>
      </w:r>
    </w:p>
    <w:p>
      <w:pPr>
        <w:pStyle w:val="Heading1"/>
      </w:pPr>
      <w:r>
        <w:rPr>
          <w:rFonts w:ascii="Arial" w:hAnsi="Arial" w:eastAsia="Arial"/>
          <w:b/>
          <w:i w:val="0"/>
          <w:color w:val="000000"/>
          <w:sz w:val="44"/>
        </w:rPr>
        <w:t>Джерельні рамки для зведених об’єктів</w:t>
      </w:r>
    </w:p>
    <w:tbl>
      <w:tblPr>
        <w:tblStyle w:val="TableGrid"/>
        <w:tblW w:type="auto" w:w="0"/>
        <w:jc w:val="left"/>
        <w:tblLayout w:type="fixed"/>
        <w:tblLook w:firstColumn="1" w:firstRow="1" w:lastColumn="0" w:lastRow="0" w:noHBand="0" w:noVBand="1" w:val="04A0"/>
      </w:tblPr>
      <w:tblGrid>
        <w:gridCol w:w="1218"/>
        <w:gridCol w:w="1218"/>
        <w:gridCol w:w="1218"/>
        <w:gridCol w:w="1218"/>
        <w:gridCol w:w="1218"/>
        <w:gridCol w:w="1218"/>
        <w:gridCol w:w="1218"/>
        <w:gridCol w:w="1218"/>
      </w:tblGrid>
      <w:tr>
        <w:tc>
          <w:tcPr>
            <w:tcW w:type="dxa" w:w="2041"/>
          </w:tcPr>
          <w:p>
            <w:pPr>
              <w:jc w:val="left"/>
            </w:pPr>
            <w:r/>
            <w:r>
              <w:rPr>
                <w:rFonts w:ascii="Arial" w:hAnsi="Arial" w:eastAsia="Arial"/>
                <w:b/>
                <w:i w:val="0"/>
                <w:color w:val="000000"/>
                <w:sz w:val="20"/>
              </w:rPr>
              <w:t>Навігаційний ID</w:t>
            </w:r>
          </w:p>
        </w:tc>
        <w:tc>
          <w:tcPr>
            <w:tcW w:type="dxa" w:w="1247"/>
          </w:tcPr>
          <w:p>
            <w:pPr>
              <w:jc w:val="left"/>
            </w:pPr>
            <w:r/>
            <w:r>
              <w:rPr>
                <w:rFonts w:ascii="Arial" w:hAnsi="Arial" w:eastAsia="Arial"/>
                <w:b/>
                <w:i w:val="0"/>
                <w:color w:val="000000"/>
                <w:sz w:val="20"/>
              </w:rPr>
              <w:t>Назва</w:t>
            </w:r>
          </w:p>
        </w:tc>
        <w:tc>
          <w:tcPr>
            <w:tcW w:type="dxa" w:w="1247"/>
          </w:tcPr>
          <w:p>
            <w:pPr>
              <w:jc w:val="left"/>
            </w:pPr>
            <w:r/>
            <w:r>
              <w:rPr>
                <w:rFonts w:ascii="Arial" w:hAnsi="Arial" w:eastAsia="Arial"/>
                <w:b/>
                <w:i w:val="0"/>
                <w:color w:val="000000"/>
                <w:sz w:val="20"/>
              </w:rPr>
              <w:t>Джерела</w:t>
            </w:r>
          </w:p>
        </w:tc>
        <w:tc>
          <w:tcPr>
            <w:tcW w:type="dxa" w:w="1247"/>
          </w:tcPr>
          <w:p>
            <w:pPr>
              <w:jc w:val="left"/>
            </w:pPr>
            <w:r/>
            <w:r>
              <w:rPr>
                <w:rFonts w:ascii="Arial" w:hAnsi="Arial" w:eastAsia="Arial"/>
                <w:b/>
                <w:i w:val="0"/>
                <w:color w:val="000000"/>
                <w:sz w:val="20"/>
              </w:rPr>
              <w:t>Період</w:t>
            </w:r>
          </w:p>
        </w:tc>
        <w:tc>
          <w:tcPr>
            <w:tcW w:type="dxa" w:w="1247"/>
          </w:tcPr>
          <w:p>
            <w:pPr>
              <w:jc w:val="left"/>
            </w:pPr>
            <w:r/>
            <w:r>
              <w:rPr>
                <w:rFonts w:ascii="Arial" w:hAnsi="Arial" w:eastAsia="Arial"/>
                <w:b/>
                <w:i w:val="0"/>
                <w:color w:val="000000"/>
                <w:sz w:val="20"/>
              </w:rPr>
              <w:t>Одиниця виміру</w:t>
            </w:r>
          </w:p>
        </w:tc>
        <w:tc>
          <w:tcPr>
            <w:tcW w:type="dxa" w:w="1247"/>
          </w:tcPr>
          <w:p>
            <w:pPr>
              <w:jc w:val="left"/>
            </w:pPr>
            <w:r/>
            <w:r>
              <w:rPr>
                <w:rFonts w:ascii="Arial" w:hAnsi="Arial" w:eastAsia="Arial"/>
                <w:b/>
                <w:i w:val="0"/>
                <w:color w:val="000000"/>
                <w:sz w:val="20"/>
              </w:rPr>
              <w:t>Методична примітка</w:t>
            </w:r>
          </w:p>
        </w:tc>
        <w:tc>
          <w:tcPr>
            <w:tcW w:type="dxa" w:w="1247"/>
          </w:tcPr>
          <w:p>
            <w:pPr>
              <w:jc w:val="left"/>
            </w:pPr>
            <w:r/>
            <w:r>
              <w:rPr>
                <w:rFonts w:ascii="Arial" w:hAnsi="Arial" w:eastAsia="Arial"/>
                <w:b/>
                <w:i w:val="0"/>
                <w:color w:val="000000"/>
                <w:sz w:val="20"/>
              </w:rPr>
              <w:t>Застереження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V1-T03</w:t>
            </w:r>
          </w:p>
        </w:tc>
        <w:tc>
          <w:tcPr>
            <w:tcW w:type="dxa" w:w="1247"/>
          </w:tcPr>
          <w:p>
            <w:pPr>
              <w:jc w:val="left"/>
            </w:pPr>
            <w:r/>
            <w:r>
              <w:rPr>
                <w:rFonts w:ascii="Arial" w:hAnsi="Arial" w:eastAsia="Arial"/>
                <w:b w:val="0"/>
                <w:i w:val="0"/>
                <w:color w:val="000000"/>
                <w:sz w:val="20"/>
              </w:rPr>
              <w:t>Зведення виробничих траєкторій</w:t>
            </w:r>
          </w:p>
        </w:tc>
        <w:tc>
          <w:tcPr>
            <w:tcW w:type="dxa" w:w="1247"/>
          </w:tcPr>
          <w:p>
            <w:pPr>
              <w:jc w:val="left"/>
            </w:pPr>
            <w:r/>
            <w:r>
              <w:rPr>
                <w:rFonts w:ascii="Arial" w:hAnsi="Arial" w:eastAsia="Arial"/>
                <w:b w:val="0"/>
                <w:i w:val="0"/>
                <w:color w:val="000000"/>
                <w:sz w:val="20"/>
              </w:rPr>
              <w:t>GMK Center; worldsteel; GMK Center; NV; IEA; KSE; Rebuilding Ukraine: Investment; FAOSTAT; Tridge; gmk.center; chemistryworld.com; gmk.center; ier.com.ua; STAT_ВВП_за_виробничим_методом.xlsx; Ukraine Fifth Rapid</w:t>
            </w:r>
          </w:p>
        </w:tc>
        <w:tc>
          <w:tcPr>
            <w:tcW w:type="dxa" w:w="1247"/>
          </w:tcPr>
          <w:p>
            <w:pPr>
              <w:jc w:val="left"/>
            </w:pPr>
            <w:r/>
            <w:r>
              <w:rPr>
                <w:rFonts w:ascii="Arial" w:hAnsi="Arial" w:eastAsia="Arial"/>
                <w:b w:val="0"/>
                <w:i w:val="0"/>
                <w:color w:val="000000"/>
                <w:sz w:val="20"/>
              </w:rPr>
              <w:t>2020-2035</w:t>
            </w:r>
          </w:p>
        </w:tc>
        <w:tc>
          <w:tcPr>
            <w:tcW w:type="dxa" w:w="1247"/>
          </w:tcPr>
          <w:p>
            <w:pPr>
              <w:jc w:val="left"/>
            </w:pPr>
            <w:r/>
            <w:r>
              <w:rPr>
                <w:rFonts w:ascii="Arial" w:hAnsi="Arial" w:eastAsia="Arial"/>
                <w:b w:val="0"/>
                <w:i w:val="0"/>
                <w:color w:val="000000"/>
                <w:sz w:val="20"/>
              </w:rPr>
              <w:t>індекс 2021=100</w:t>
            </w:r>
          </w:p>
        </w:tc>
        <w:tc>
          <w:tcPr>
            <w:tcW w:type="dxa" w:w="1247"/>
          </w:tcPr>
          <w:p>
            <w:pPr>
              <w:jc w:val="left"/>
            </w:pPr>
            <w:r/>
            <w:r>
              <w:rPr>
                <w:rFonts w:ascii="Arial" w:hAnsi="Arial" w:eastAsia="Arial"/>
                <w:b w:val="0"/>
                <w:i w:val="0"/>
                <w:color w:val="000000"/>
                <w:sz w:val="20"/>
              </w:rPr>
              <w:t>Нормування секторів до власної бази; несумірні фізичні одиниці не підсумовуються.</w:t>
            </w:r>
          </w:p>
        </w:tc>
        <w:tc>
          <w:tcPr>
            <w:tcW w:type="dxa" w:w="1247"/>
          </w:tcPr>
          <w:p>
            <w:pPr>
              <w:jc w:val="left"/>
            </w:pPr>
            <w:r/>
            <w:r>
              <w:rPr>
                <w:rFonts w:ascii="Arial" w:hAnsi="Arial" w:eastAsia="Arial"/>
                <w:b w:val="0"/>
                <w:i w:val="0"/>
                <w:color w:val="000000"/>
                <w:sz w:val="20"/>
              </w:rPr>
              <w:t>Діапазони не є офіційним прогнозом.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V1-T04</w:t>
            </w:r>
          </w:p>
        </w:tc>
        <w:tc>
          <w:tcPr>
            <w:tcW w:type="dxa" w:w="1247"/>
          </w:tcPr>
          <w:p>
            <w:pPr>
              <w:jc w:val="left"/>
            </w:pPr>
            <w:r/>
            <w:r>
              <w:rPr>
                <w:rFonts w:ascii="Arial" w:hAnsi="Arial" w:eastAsia="Arial"/>
                <w:b w:val="0"/>
                <w:i w:val="0"/>
                <w:color w:val="000000"/>
                <w:sz w:val="20"/>
              </w:rPr>
              <w:t>Зведення експортних траєкторій</w:t>
            </w:r>
          </w:p>
        </w:tc>
        <w:tc>
          <w:tcPr>
            <w:tcW w:type="dxa" w:w="1247"/>
          </w:tcPr>
          <w:p>
            <w:pPr>
              <w:jc w:val="left"/>
            </w:pPr>
            <w:r/>
            <w:r>
              <w:rPr>
                <w:rFonts w:ascii="Arial" w:hAnsi="Arial" w:eastAsia="Arial"/>
                <w:b w:val="0"/>
                <w:i w:val="0"/>
                <w:color w:val="000000"/>
                <w:sz w:val="20"/>
              </w:rPr>
              <w:t>GMK Center; taxation-customs.ec.europa.eu; GMK Center; FAOSTAT; Tridge; ier.com.ua; MINFIN__Ukraine_BoP.xlsx; European Commission</w:t>
            </w:r>
          </w:p>
        </w:tc>
        <w:tc>
          <w:tcPr>
            <w:tcW w:type="dxa" w:w="1247"/>
          </w:tcPr>
          <w:p>
            <w:pPr>
              <w:jc w:val="left"/>
            </w:pPr>
            <w:r/>
            <w:r>
              <w:rPr>
                <w:rFonts w:ascii="Arial" w:hAnsi="Arial" w:eastAsia="Arial"/>
                <w:b w:val="0"/>
                <w:i w:val="0"/>
                <w:color w:val="000000"/>
                <w:sz w:val="20"/>
              </w:rPr>
              <w:t>2020-2035</w:t>
            </w:r>
          </w:p>
        </w:tc>
        <w:tc>
          <w:tcPr>
            <w:tcW w:type="dxa" w:w="1247"/>
          </w:tcPr>
          <w:p>
            <w:pPr>
              <w:jc w:val="left"/>
            </w:pPr>
            <w:r/>
            <w:r>
              <w:rPr>
                <w:rFonts w:ascii="Arial" w:hAnsi="Arial" w:eastAsia="Arial"/>
                <w:b w:val="0"/>
                <w:i w:val="0"/>
                <w:color w:val="000000"/>
                <w:sz w:val="20"/>
              </w:rPr>
              <w:t>індекс експортної спроможності</w:t>
            </w:r>
          </w:p>
        </w:tc>
        <w:tc>
          <w:tcPr>
            <w:tcW w:type="dxa" w:w="1247"/>
          </w:tcPr>
          <w:p>
            <w:pPr>
              <w:jc w:val="left"/>
            </w:pPr>
            <w:r/>
            <w:r>
              <w:rPr>
                <w:rFonts w:ascii="Arial" w:hAnsi="Arial" w:eastAsia="Arial"/>
                <w:b w:val="0"/>
                <w:i w:val="0"/>
                <w:color w:val="000000"/>
                <w:sz w:val="20"/>
              </w:rPr>
              <w:t>Експорт читається окремо від виробництва через логістику, ринки і структуру товарів.</w:t>
            </w:r>
          </w:p>
        </w:tc>
        <w:tc>
          <w:tcPr>
            <w:tcW w:type="dxa" w:w="1247"/>
          </w:tcPr>
          <w:p>
            <w:pPr>
              <w:jc w:val="left"/>
            </w:pPr>
            <w:r/>
            <w:r>
              <w:rPr>
                <w:rFonts w:ascii="Arial" w:hAnsi="Arial" w:eastAsia="Arial"/>
                <w:b w:val="0"/>
                <w:i w:val="0"/>
                <w:color w:val="000000"/>
                <w:sz w:val="20"/>
              </w:rPr>
              <w:t>Не дорівнює номінальному доларовому експорту.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V1-T05</w:t>
            </w:r>
          </w:p>
        </w:tc>
        <w:tc>
          <w:tcPr>
            <w:tcW w:type="dxa" w:w="1247"/>
          </w:tcPr>
          <w:p>
            <w:pPr>
              <w:jc w:val="left"/>
            </w:pPr>
            <w:r/>
            <w:r>
              <w:rPr>
                <w:rFonts w:ascii="Arial" w:hAnsi="Arial" w:eastAsia="Arial"/>
                <w:b w:val="0"/>
                <w:i w:val="0"/>
                <w:color w:val="000000"/>
                <w:sz w:val="20"/>
              </w:rPr>
              <w:t>Зведення зайнятісних траєкторій</w:t>
            </w:r>
          </w:p>
        </w:tc>
        <w:tc>
          <w:tcPr>
            <w:tcW w:type="dxa" w:w="1247"/>
          </w:tcPr>
          <w:p>
            <w:pPr>
              <w:jc w:val="left"/>
            </w:pPr>
            <w:r/>
            <w:r>
              <w:rPr>
                <w:rFonts w:ascii="Arial" w:hAnsi="Arial" w:eastAsia="Arial"/>
                <w:b w:val="0"/>
                <w:i w:val="0"/>
                <w:color w:val="000000"/>
                <w:sz w:val="20"/>
              </w:rPr>
              <w:t>Ukrainian Refugees After; UNHCR; Eurostat; IOM; Ukraine Human Capital; Employer Survey on; Ukraine; Rebuilding Ukraine</w:t>
            </w:r>
          </w:p>
        </w:tc>
        <w:tc>
          <w:tcPr>
            <w:tcW w:type="dxa" w:w="1247"/>
          </w:tcPr>
          <w:p>
            <w:pPr>
              <w:jc w:val="left"/>
            </w:pPr>
            <w:r/>
            <w:r>
              <w:rPr>
                <w:rFonts w:ascii="Arial" w:hAnsi="Arial" w:eastAsia="Arial"/>
                <w:b w:val="0"/>
                <w:i w:val="0"/>
                <w:color w:val="000000"/>
                <w:sz w:val="20"/>
              </w:rPr>
              <w:t>2020-2035</w:t>
            </w:r>
          </w:p>
        </w:tc>
        <w:tc>
          <w:tcPr>
            <w:tcW w:type="dxa" w:w="1247"/>
          </w:tcPr>
          <w:p>
            <w:pPr>
              <w:jc w:val="left"/>
            </w:pPr>
            <w:r/>
            <w:r>
              <w:rPr>
                <w:rFonts w:ascii="Arial" w:hAnsi="Arial" w:eastAsia="Arial"/>
                <w:b w:val="0"/>
                <w:i w:val="0"/>
                <w:color w:val="000000"/>
                <w:sz w:val="20"/>
              </w:rPr>
              <w:t>індекс кадрової реалізованості</w:t>
            </w:r>
          </w:p>
        </w:tc>
        <w:tc>
          <w:tcPr>
            <w:tcW w:type="dxa" w:w="1247"/>
          </w:tcPr>
          <w:p>
            <w:pPr>
              <w:jc w:val="left"/>
            </w:pPr>
            <w:r/>
            <w:r>
              <w:rPr>
                <w:rFonts w:ascii="Arial" w:hAnsi="Arial" w:eastAsia="Arial"/>
                <w:b w:val="0"/>
                <w:i w:val="0"/>
                <w:color w:val="000000"/>
                <w:sz w:val="20"/>
              </w:rPr>
              <w:t>Зайнятість читається як обмеження реалізації виробничого плану.</w:t>
            </w:r>
          </w:p>
        </w:tc>
        <w:tc>
          <w:tcPr>
            <w:tcW w:type="dxa" w:w="1247"/>
          </w:tcPr>
          <w:p>
            <w:pPr>
              <w:jc w:val="left"/>
            </w:pPr>
            <w:r/>
            <w:r>
              <w:rPr>
                <w:rFonts w:ascii="Arial" w:hAnsi="Arial" w:eastAsia="Arial"/>
                <w:b w:val="0"/>
                <w:i w:val="0"/>
                <w:color w:val="000000"/>
                <w:sz w:val="20"/>
              </w:rPr>
              <w:t>Не є демографічним прогнозом.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V1-T06</w:t>
            </w:r>
          </w:p>
        </w:tc>
        <w:tc>
          <w:tcPr>
            <w:tcW w:type="dxa" w:w="1247"/>
          </w:tcPr>
          <w:p>
            <w:pPr>
              <w:jc w:val="left"/>
            </w:pPr>
            <w:r/>
            <w:r>
              <w:rPr>
                <w:rFonts w:ascii="Arial" w:hAnsi="Arial" w:eastAsia="Arial"/>
                <w:b w:val="0"/>
                <w:i w:val="0"/>
                <w:color w:val="000000"/>
                <w:sz w:val="20"/>
              </w:rPr>
              <w:t>Зведення фіскальної бази</w:t>
            </w:r>
          </w:p>
        </w:tc>
        <w:tc>
          <w:tcPr>
            <w:tcW w:type="dxa" w:w="1247"/>
          </w:tcPr>
          <w:p>
            <w:pPr>
              <w:jc w:val="left"/>
            </w:pPr>
            <w:r/>
            <w:r>
              <w:rPr>
                <w:rFonts w:ascii="Arial" w:hAnsi="Arial" w:eastAsia="Arial"/>
                <w:b w:val="0"/>
                <w:i w:val="0"/>
                <w:color w:val="000000"/>
                <w:sz w:val="20"/>
              </w:rPr>
              <w:t>GMK Center; GMK Center; KSE; Tridge; gmk.center; ier.com.ua; STAT_ВВП_за_виробничим_методом.xlsx; STAT_ВВП_за_розподільчим_методом.xlsx; MINFIN__Ukraine_Budget_Full.xlsx</w:t>
            </w:r>
          </w:p>
        </w:tc>
        <w:tc>
          <w:tcPr>
            <w:tcW w:type="dxa" w:w="1247"/>
          </w:tcPr>
          <w:p>
            <w:pPr>
              <w:jc w:val="left"/>
            </w:pPr>
            <w:r/>
            <w:r>
              <w:rPr>
                <w:rFonts w:ascii="Arial" w:hAnsi="Arial" w:eastAsia="Arial"/>
                <w:b w:val="0"/>
                <w:i w:val="0"/>
                <w:color w:val="000000"/>
                <w:sz w:val="20"/>
              </w:rPr>
              <w:t>2020-2035</w:t>
            </w:r>
          </w:p>
        </w:tc>
        <w:tc>
          <w:tcPr>
            <w:tcW w:type="dxa" w:w="1247"/>
          </w:tcPr>
          <w:p>
            <w:pPr>
              <w:jc w:val="left"/>
            </w:pPr>
            <w:r/>
            <w:r>
              <w:rPr>
                <w:rFonts w:ascii="Arial" w:hAnsi="Arial" w:eastAsia="Arial"/>
                <w:b w:val="0"/>
                <w:i w:val="0"/>
                <w:color w:val="000000"/>
                <w:sz w:val="20"/>
              </w:rPr>
              <w:t>індекс фіскальної бази</w:t>
            </w:r>
          </w:p>
        </w:tc>
        <w:tc>
          <w:tcPr>
            <w:tcW w:type="dxa" w:w="1247"/>
          </w:tcPr>
          <w:p>
            <w:pPr>
              <w:jc w:val="left"/>
            </w:pPr>
            <w:r/>
            <w:r>
              <w:rPr>
                <w:rFonts w:ascii="Arial" w:hAnsi="Arial" w:eastAsia="Arial"/>
                <w:b w:val="0"/>
                <w:i w:val="0"/>
                <w:color w:val="000000"/>
                <w:sz w:val="20"/>
              </w:rPr>
              <w:t>Податкова база формується з виробництва, зарплат, прибутку, ПДВ, імпорту і локалізації.</w:t>
            </w:r>
          </w:p>
        </w:tc>
        <w:tc>
          <w:tcPr>
            <w:tcW w:type="dxa" w:w="1247"/>
          </w:tcPr>
          <w:p>
            <w:pPr>
              <w:jc w:val="left"/>
            </w:pPr>
            <w:r/>
            <w:r>
              <w:rPr>
                <w:rFonts w:ascii="Arial" w:hAnsi="Arial" w:eastAsia="Arial"/>
                <w:b w:val="0"/>
                <w:i w:val="0"/>
                <w:color w:val="000000"/>
                <w:sz w:val="20"/>
              </w:rPr>
              <w:t>Не є бюджетним прогнозом або борговим сценарієм.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V1-T07</w:t>
            </w:r>
          </w:p>
        </w:tc>
        <w:tc>
          <w:tcPr>
            <w:tcW w:type="dxa" w:w="1247"/>
          </w:tcPr>
          <w:p>
            <w:pPr>
              <w:jc w:val="left"/>
            </w:pPr>
            <w:r/>
            <w:r>
              <w:rPr>
                <w:rFonts w:ascii="Arial" w:hAnsi="Arial" w:eastAsia="Arial"/>
                <w:b w:val="0"/>
                <w:i w:val="0"/>
                <w:color w:val="000000"/>
                <w:sz w:val="20"/>
              </w:rPr>
              <w:t>Карта міжсекторних вузьких місць</w:t>
            </w:r>
          </w:p>
        </w:tc>
        <w:tc>
          <w:tcPr>
            <w:tcW w:type="dxa" w:w="1247"/>
          </w:tcPr>
          <w:p>
            <w:pPr>
              <w:jc w:val="left"/>
            </w:pPr>
            <w:r/>
            <w:r>
              <w:rPr>
                <w:rFonts w:ascii="Arial" w:hAnsi="Arial" w:eastAsia="Arial"/>
                <w:b w:val="0"/>
                <w:i w:val="0"/>
                <w:color w:val="000000"/>
                <w:sz w:val="20"/>
              </w:rPr>
              <w:t>GMK Center; NV; GMK Center; FSR 2025 H1; Reuters; NPC Ukrenergo; DREAM; Ukraine Human Capital; European Commission; Ukraine Fifth Rapid</w:t>
            </w:r>
          </w:p>
        </w:tc>
        <w:tc>
          <w:tcPr>
            <w:tcW w:type="dxa" w:w="1247"/>
          </w:tcPr>
          <w:p>
            <w:pPr>
              <w:jc w:val="left"/>
            </w:pPr>
            <w:r/>
            <w:r>
              <w:rPr>
                <w:rFonts w:ascii="Arial" w:hAnsi="Arial" w:eastAsia="Arial"/>
                <w:b w:val="0"/>
                <w:i w:val="0"/>
                <w:color w:val="000000"/>
                <w:sz w:val="20"/>
              </w:rPr>
              <w:t>2020-2035</w:t>
            </w:r>
          </w:p>
        </w:tc>
        <w:tc>
          <w:tcPr>
            <w:tcW w:type="dxa" w:w="1247"/>
          </w:tcPr>
          <w:p>
            <w:pPr>
              <w:jc w:val="left"/>
            </w:pPr>
            <w:r/>
            <w:r>
              <w:rPr>
                <w:rFonts w:ascii="Arial" w:hAnsi="Arial" w:eastAsia="Arial"/>
                <w:b w:val="0"/>
                <w:i w:val="0"/>
                <w:color w:val="000000"/>
                <w:sz w:val="20"/>
              </w:rPr>
              <w:t>якісна карта каналів</w:t>
            </w:r>
          </w:p>
        </w:tc>
        <w:tc>
          <w:tcPr>
            <w:tcW w:type="dxa" w:w="1247"/>
          </w:tcPr>
          <w:p>
            <w:pPr>
              <w:jc w:val="left"/>
            </w:pPr>
            <w:r/>
            <w:r>
              <w:rPr>
                <w:rFonts w:ascii="Arial" w:hAnsi="Arial" w:eastAsia="Arial"/>
                <w:b w:val="0"/>
                <w:i w:val="0"/>
                <w:color w:val="000000"/>
                <w:sz w:val="20"/>
              </w:rPr>
              <w:t>Показує передавальні механізми між секторами.</w:t>
            </w:r>
          </w:p>
        </w:tc>
        <w:tc>
          <w:tcPr>
            <w:tcW w:type="dxa" w:w="1247"/>
          </w:tcPr>
          <w:p>
            <w:pPr>
              <w:jc w:val="left"/>
            </w:pPr>
            <w:r/>
            <w:r>
              <w:rPr>
                <w:rFonts w:ascii="Arial" w:hAnsi="Arial" w:eastAsia="Arial"/>
                <w:b w:val="0"/>
                <w:i w:val="0"/>
                <w:color w:val="000000"/>
                <w:sz w:val="20"/>
              </w:rPr>
              <w:t>Не замінює ризикову матрицю.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V1-T08</w:t>
            </w:r>
          </w:p>
        </w:tc>
        <w:tc>
          <w:tcPr>
            <w:tcW w:type="dxa" w:w="1247"/>
          </w:tcPr>
          <w:p>
            <w:pPr>
              <w:jc w:val="left"/>
            </w:pPr>
            <w:r/>
            <w:r>
              <w:rPr>
                <w:rFonts w:ascii="Arial" w:hAnsi="Arial" w:eastAsia="Arial"/>
                <w:b w:val="0"/>
                <w:i w:val="0"/>
                <w:color w:val="000000"/>
                <w:sz w:val="20"/>
              </w:rPr>
              <w:t>Запобіжники від подвійного рахунку</w:t>
            </w:r>
          </w:p>
        </w:tc>
        <w:tc>
          <w:tcPr>
            <w:tcW w:type="dxa" w:w="1247"/>
          </w:tcPr>
          <w:p>
            <w:pPr>
              <w:jc w:val="left"/>
            </w:pPr>
            <w:r/>
            <w:r>
              <w:rPr>
                <w:rFonts w:ascii="Arial" w:hAnsi="Arial" w:eastAsia="Arial"/>
                <w:b w:val="0"/>
                <w:i w:val="0"/>
                <w:color w:val="000000"/>
                <w:sz w:val="20"/>
              </w:rPr>
              <w:t>GMK Center; GMK Center; GMK Center; KSE; Rebuilding Ukraine: Investment; DREAM; MINFIN__Ukraine_Labour_Market.xlsx; MINFIN__Ukraine_Budget_Full.xlsx; Ukraine Fifth Rapid</w:t>
            </w:r>
          </w:p>
        </w:tc>
        <w:tc>
          <w:tcPr>
            <w:tcW w:type="dxa" w:w="1247"/>
          </w:tcPr>
          <w:p>
            <w:pPr>
              <w:jc w:val="left"/>
            </w:pPr>
            <w:r/>
            <w:r>
              <w:rPr>
                <w:rFonts w:ascii="Arial" w:hAnsi="Arial" w:eastAsia="Arial"/>
                <w:b w:val="0"/>
                <w:i w:val="0"/>
                <w:color w:val="000000"/>
                <w:sz w:val="20"/>
              </w:rPr>
              <w:t>2020-2035</w:t>
            </w:r>
          </w:p>
        </w:tc>
        <w:tc>
          <w:tcPr>
            <w:tcW w:type="dxa" w:w="1247"/>
          </w:tcPr>
          <w:p>
            <w:pPr>
              <w:jc w:val="left"/>
            </w:pPr>
            <w:r/>
            <w:r>
              <w:rPr>
                <w:rFonts w:ascii="Arial" w:hAnsi="Arial" w:eastAsia="Arial"/>
                <w:b w:val="0"/>
                <w:i w:val="0"/>
                <w:color w:val="000000"/>
                <w:sz w:val="20"/>
              </w:rPr>
              <w:t>методична таблиця</w:t>
            </w:r>
          </w:p>
        </w:tc>
        <w:tc>
          <w:tcPr>
            <w:tcW w:type="dxa" w:w="1247"/>
          </w:tcPr>
          <w:p>
            <w:pPr>
              <w:jc w:val="left"/>
            </w:pPr>
            <w:r/>
            <w:r>
              <w:rPr>
                <w:rFonts w:ascii="Arial" w:hAnsi="Arial" w:eastAsia="Arial"/>
                <w:b w:val="0"/>
                <w:i w:val="0"/>
                <w:color w:val="000000"/>
                <w:sz w:val="20"/>
              </w:rPr>
              <w:t>Відокремлює випуск, витрати, податки, логістику і зайнятість.</w:t>
            </w:r>
          </w:p>
        </w:tc>
        <w:tc>
          <w:tcPr>
            <w:tcW w:type="dxa" w:w="1247"/>
          </w:tcPr>
          <w:p>
            <w:pPr>
              <w:jc w:val="left"/>
            </w:pPr>
            <w:r/>
            <w:r>
              <w:rPr>
                <w:rFonts w:ascii="Arial" w:hAnsi="Arial" w:eastAsia="Arial"/>
                <w:b w:val="0"/>
                <w:i w:val="0"/>
                <w:color w:val="000000"/>
                <w:sz w:val="20"/>
              </w:rPr>
              <w:t>Потребує оновлення при зміні базових даних.</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URL не дублюються в цій таблиці; [1] чисті адреси наведені тільки у фінальному списку джерел.</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Публічний елемент</w:t>
            </w:r>
          </w:p>
        </w:tc>
        <w:tc>
          <w:tcPr>
            <w:tcW w:type="dxa" w:w="2081"/>
          </w:tcPr>
          <w:p>
            <w:pPr>
              <w:jc w:val="left"/>
            </w:pPr>
            <w:r/>
            <w:r>
              <w:rPr>
                <w:rFonts w:ascii="Arial" w:hAnsi="Arial" w:eastAsia="Arial"/>
                <w:b/>
                <w:i w:val="0"/>
                <w:color w:val="000000"/>
                <w:sz w:val="20"/>
              </w:rPr>
              <w:t>Що бачить читач</w:t>
            </w:r>
          </w:p>
        </w:tc>
        <w:tc>
          <w:tcPr>
            <w:tcW w:type="dxa" w:w="2081"/>
          </w:tcPr>
          <w:p>
            <w:pPr>
              <w:jc w:val="left"/>
            </w:pPr>
            <w:r/>
            <w:r>
              <w:rPr>
                <w:rFonts w:ascii="Arial" w:hAnsi="Arial" w:eastAsia="Arial"/>
                <w:b/>
                <w:i w:val="0"/>
                <w:color w:val="000000"/>
                <w:sz w:val="20"/>
              </w:rPr>
              <w:t>Що означає</w:t>
            </w:r>
          </w:p>
        </w:tc>
        <w:tc>
          <w:tcPr>
            <w:tcW w:type="dxa" w:w="2081"/>
          </w:tcPr>
          <w:p>
            <w:pPr>
              <w:jc w:val="left"/>
            </w:pPr>
            <w:r/>
            <w:r>
              <w:rPr>
                <w:rFonts w:ascii="Arial" w:hAnsi="Arial" w:eastAsia="Arial"/>
                <w:b/>
                <w:i w:val="0"/>
                <w:color w:val="000000"/>
                <w:sz w:val="20"/>
              </w:rPr>
              <w:t>Де використовується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SourceID S###</w:t>
            </w:r>
          </w:p>
        </w:tc>
        <w:tc>
          <w:tcPr>
            <w:tcW w:type="dxa" w:w="2081"/>
          </w:tcPr>
          <w:p>
            <w:pPr>
              <w:jc w:val="left"/>
            </w:pPr>
            <w:r/>
            <w:r>
              <w:rPr>
                <w:rFonts w:ascii="Arial" w:hAnsi="Arial" w:eastAsia="Arial"/>
                <w:b w:val="0"/>
                <w:i w:val="0"/>
                <w:color w:val="000000"/>
                <w:sz w:val="20"/>
              </w:rPr>
              <w:t>Короткий номер джерела біля твердження або в таблиці.</w:t>
            </w:r>
          </w:p>
        </w:tc>
        <w:tc>
          <w:tcPr>
            <w:tcW w:type="dxa" w:w="2081"/>
          </w:tcPr>
          <w:p>
            <w:pPr>
              <w:jc w:val="left"/>
            </w:pPr>
            <w:r/>
            <w:r>
              <w:rPr>
                <w:rFonts w:ascii="Arial" w:hAnsi="Arial" w:eastAsia="Arial"/>
                <w:b w:val="0"/>
                <w:i w:val="0"/>
                <w:color w:val="000000"/>
                <w:sz w:val="20"/>
              </w:rPr>
              <w:t>Маршрут до конкретного джерела у списку посилань.</w:t>
            </w:r>
          </w:p>
        </w:tc>
        <w:tc>
          <w:tcPr>
            <w:tcW w:type="dxa" w:w="2081"/>
          </w:tcPr>
          <w:p>
            <w:pPr>
              <w:jc w:val="left"/>
            </w:pPr>
            <w:r/>
            <w:r>
              <w:rPr>
                <w:rFonts w:ascii="Arial" w:hAnsi="Arial" w:eastAsia="Arial"/>
                <w:b w:val="0"/>
                <w:i w:val="0"/>
                <w:color w:val="000000"/>
                <w:sz w:val="20"/>
              </w:rPr>
              <w:t>У прозі, таблицях, джерельних рамках і примітках.</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GraphID A1-G## / B1-G##</w:t>
            </w:r>
          </w:p>
        </w:tc>
        <w:tc>
          <w:tcPr>
            <w:tcW w:type="dxa" w:w="2081"/>
          </w:tcPr>
          <w:p>
            <w:pPr>
              <w:jc w:val="left"/>
            </w:pPr>
            <w:r/>
            <w:r>
              <w:rPr>
                <w:rFonts w:ascii="Arial" w:hAnsi="Arial" w:eastAsia="Arial"/>
                <w:b w:val="0"/>
                <w:i w:val="0"/>
                <w:color w:val="000000"/>
                <w:sz w:val="20"/>
              </w:rPr>
              <w:t>Навігаційний ID upstream-графіка.</w:t>
            </w:r>
          </w:p>
        </w:tc>
        <w:tc>
          <w:tcPr>
            <w:tcW w:type="dxa" w:w="2081"/>
          </w:tcPr>
          <w:p>
            <w:pPr>
              <w:jc w:val="left"/>
            </w:pPr>
            <w:r/>
            <w:r>
              <w:rPr>
                <w:rFonts w:ascii="Arial" w:hAnsi="Arial" w:eastAsia="Arial"/>
                <w:b w:val="0"/>
                <w:i w:val="0"/>
                <w:color w:val="000000"/>
                <w:sz w:val="20"/>
              </w:rPr>
              <w:t>Графік уже належить секторному або горизонтальному блоку.</w:t>
            </w:r>
          </w:p>
        </w:tc>
        <w:tc>
          <w:tcPr>
            <w:tcW w:type="dxa" w:w="2081"/>
          </w:tcPr>
          <w:p>
            <w:pPr>
              <w:jc w:val="left"/>
            </w:pPr>
            <w:r/>
            <w:r>
              <w:rPr>
                <w:rFonts w:ascii="Arial" w:hAnsi="Arial" w:eastAsia="Arial"/>
                <w:b w:val="0"/>
                <w:i w:val="0"/>
                <w:color w:val="000000"/>
                <w:sz w:val="20"/>
              </w:rPr>
              <w:t>У графовому інвентарі та поясненні ролі графів у цьому блоці.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TableID V1-T##</w:t>
            </w:r>
          </w:p>
        </w:tc>
        <w:tc>
          <w:tcPr>
            <w:tcW w:type="dxa" w:w="2081"/>
          </w:tcPr>
          <w:p>
            <w:pPr>
              <w:jc w:val="left"/>
            </w:pPr>
            <w:r/>
            <w:r>
              <w:rPr>
                <w:rFonts w:ascii="Arial" w:hAnsi="Arial" w:eastAsia="Arial"/>
                <w:b w:val="0"/>
                <w:i w:val="0"/>
                <w:color w:val="000000"/>
                <w:sz w:val="20"/>
              </w:rPr>
              <w:t>Публічний ID нової зведеної таблиці.</w:t>
            </w:r>
          </w:p>
        </w:tc>
        <w:tc>
          <w:tcPr>
            <w:tcW w:type="dxa" w:w="2081"/>
          </w:tcPr>
          <w:p>
            <w:pPr>
              <w:jc w:val="left"/>
            </w:pPr>
            <w:r/>
            <w:r>
              <w:rPr>
                <w:rFonts w:ascii="Arial" w:hAnsi="Arial" w:eastAsia="Arial"/>
                <w:b w:val="0"/>
                <w:i w:val="0"/>
                <w:color w:val="000000"/>
                <w:sz w:val="20"/>
              </w:rPr>
              <w:t>Таблиця створена у цьому блоці як агрегований об’єкт.</w:t>
            </w:r>
          </w:p>
        </w:tc>
        <w:tc>
          <w:tcPr>
            <w:tcW w:type="dxa" w:w="2081"/>
          </w:tcPr>
          <w:p>
            <w:pPr>
              <w:jc w:val="left"/>
            </w:pPr>
            <w:r/>
            <w:r>
              <w:rPr>
                <w:rFonts w:ascii="Arial" w:hAnsi="Arial" w:eastAsia="Arial"/>
                <w:b w:val="0"/>
                <w:i w:val="0"/>
                <w:color w:val="000000"/>
                <w:sz w:val="20"/>
              </w:rPr>
              <w:t>У виробничих, експортних, зайнятісних, фіскальних і методичних таблицях.</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Методична рамка</w:t>
            </w:r>
          </w:p>
        </w:tc>
        <w:tc>
          <w:tcPr>
            <w:tcW w:type="dxa" w:w="2081"/>
          </w:tcPr>
          <w:p>
            <w:pPr>
              <w:jc w:val="left"/>
            </w:pPr>
            <w:r/>
            <w:r>
              <w:rPr>
                <w:rFonts w:ascii="Arial" w:hAnsi="Arial" w:eastAsia="Arial"/>
                <w:b w:val="0"/>
                <w:i w:val="0"/>
                <w:color w:val="000000"/>
                <w:sz w:val="20"/>
              </w:rPr>
              <w:t>Короткий блок із призначенням, входами, правилом і caveat.</w:t>
            </w:r>
          </w:p>
        </w:tc>
        <w:tc>
          <w:tcPr>
            <w:tcW w:type="dxa" w:w="2081"/>
          </w:tcPr>
          <w:p>
            <w:pPr>
              <w:jc w:val="left"/>
            </w:pPr>
            <w:r/>
            <w:r>
              <w:rPr>
                <w:rFonts w:ascii="Arial" w:hAnsi="Arial" w:eastAsia="Arial"/>
                <w:b w:val="0"/>
                <w:i w:val="0"/>
                <w:color w:val="000000"/>
                <w:sz w:val="20"/>
              </w:rPr>
              <w:t>Пояснює, як читати розрахунок або зведення.</w:t>
            </w:r>
          </w:p>
        </w:tc>
        <w:tc>
          <w:tcPr>
            <w:tcW w:type="dxa" w:w="2081"/>
          </w:tcPr>
          <w:p>
            <w:pPr>
              <w:jc w:val="left"/>
            </w:pPr>
            <w:r/>
            <w:r>
              <w:rPr>
                <w:rFonts w:ascii="Arial" w:hAnsi="Arial" w:eastAsia="Arial"/>
                <w:b w:val="0"/>
                <w:i w:val="0"/>
                <w:color w:val="000000"/>
                <w:sz w:val="20"/>
              </w:rPr>
              <w:t>Перед або після ключових таблиць.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Джерельна рамка</w:t>
            </w:r>
          </w:p>
        </w:tc>
        <w:tc>
          <w:tcPr>
            <w:tcW w:type="dxa" w:w="2081"/>
          </w:tcPr>
          <w:p>
            <w:pPr>
              <w:jc w:val="left"/>
            </w:pPr>
            <w:r/>
            <w:r>
              <w:rPr>
                <w:rFonts w:ascii="Arial" w:hAnsi="Arial" w:eastAsia="Arial"/>
                <w:b w:val="0"/>
                <w:i w:val="0"/>
                <w:color w:val="000000"/>
                <w:sz w:val="20"/>
              </w:rPr>
              <w:t>Список SourceID, період, одиниця, методична примітка.</w:t>
            </w:r>
          </w:p>
        </w:tc>
        <w:tc>
          <w:tcPr>
            <w:tcW w:type="dxa" w:w="2081"/>
          </w:tcPr>
          <w:p>
            <w:pPr>
              <w:jc w:val="left"/>
            </w:pPr>
            <w:r/>
            <w:r>
              <w:rPr>
                <w:rFonts w:ascii="Arial" w:hAnsi="Arial" w:eastAsia="Arial"/>
                <w:b w:val="0"/>
                <w:i w:val="0"/>
                <w:color w:val="000000"/>
                <w:sz w:val="20"/>
              </w:rPr>
              <w:t>Показує, звідки взято вхідні сигнали.</w:t>
            </w:r>
          </w:p>
        </w:tc>
        <w:tc>
          <w:tcPr>
            <w:tcW w:type="dxa" w:w="2081"/>
          </w:tcPr>
          <w:p>
            <w:pPr>
              <w:jc w:val="left"/>
            </w:pPr>
            <w:r/>
            <w:r>
              <w:rPr>
                <w:rFonts w:ascii="Arial" w:hAnsi="Arial" w:eastAsia="Arial"/>
                <w:b w:val="0"/>
                <w:i w:val="0"/>
                <w:color w:val="000000"/>
                <w:sz w:val="20"/>
              </w:rPr>
              <w:t>Після таблиць і графових інвентарів.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Фінальний список джерел</w:t>
            </w:r>
          </w:p>
        </w:tc>
        <w:tc>
          <w:tcPr>
            <w:tcW w:type="dxa" w:w="2081"/>
          </w:tcPr>
          <w:p>
            <w:pPr>
              <w:jc w:val="left"/>
            </w:pPr>
            <w:r/>
            <w:r>
              <w:rPr>
                <w:rFonts w:ascii="Arial" w:hAnsi="Arial" w:eastAsia="Arial"/>
                <w:b w:val="0"/>
                <w:i w:val="0"/>
                <w:color w:val="000000"/>
                <w:sz w:val="20"/>
              </w:rPr>
              <w:t>Повний перелік [n] | SourceID | назва | URL.</w:t>
            </w:r>
          </w:p>
        </w:tc>
        <w:tc>
          <w:tcPr>
            <w:tcW w:type="dxa" w:w="2081"/>
          </w:tcPr>
          <w:p>
            <w:pPr>
              <w:jc w:val="left"/>
            </w:pPr>
            <w:r/>
            <w:r>
              <w:rPr>
                <w:rFonts w:ascii="Arial" w:hAnsi="Arial" w:eastAsia="Arial"/>
                <w:b w:val="0"/>
                <w:i w:val="0"/>
                <w:color w:val="000000"/>
                <w:sz w:val="20"/>
              </w:rPr>
              <w:t>Єдине місце з чистими URL у документі.</w:t>
            </w:r>
          </w:p>
        </w:tc>
        <w:tc>
          <w:tcPr>
            <w:tcW w:type="dxa" w:w="2081"/>
          </w:tcPr>
          <w:p>
            <w:pPr>
              <w:jc w:val="left"/>
            </w:pPr>
            <w:r/>
            <w:r>
              <w:rPr>
                <w:rFonts w:ascii="Arial" w:hAnsi="Arial" w:eastAsia="Arial"/>
                <w:b w:val="0"/>
                <w:i w:val="0"/>
                <w:color w:val="000000"/>
                <w:sz w:val="20"/>
              </w:rPr>
              <w:t>В останньому розділі.</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Висновок</w:t>
      </w:r>
    </w:p>
    <w:p>
      <w:pPr>
        <w:jc w:val="both"/>
      </w:pPr>
      <w:r>
        <w:rPr>
          <w:rFonts w:ascii="Arial" w:hAnsi="Arial" w:eastAsia="Arial"/>
          <w:b w:val="0"/>
          <w:i w:val="0"/>
          <w:color w:val="000000"/>
          <w:sz w:val="24"/>
        </w:rPr>
        <w:t>V1 виконує одну функцію: перетворює секторні та горизонтальні докази у національну економічну структуру, придатну для подальшого макромоделювання. Він не підсумовує сектори механічно, не дублює секторні звіти, не рахує ВВП, не моделює борг і не замінює фінальний сценарний звіт. Його результат - простежуваний шар, у якому виробництво, експорт, зайнятість і фіскальна база мають власні таблиці, власні ваги, власні джерела і власні caveat. [1]</w:t>
      </w:r>
    </w:p>
    <w:p>
      <w:pPr>
        <w:jc w:val="both"/>
      </w:pPr>
      <w:r>
        <w:rPr>
          <w:rFonts w:ascii="Arial" w:hAnsi="Arial" w:eastAsia="Arial"/>
          <w:b w:val="0"/>
          <w:i w:val="0"/>
          <w:color w:val="000000"/>
          <w:sz w:val="24"/>
        </w:rPr>
        <w:t>Головний методичний висновок полягає в тому, що українська промислова економіка до 2030-2035 року не може бути прочитана через один агрегований показник. [1] Металургія може мати довгий виробничий ряд, але залежати від енергії, портів і CBAM. АПК може підтримувати валютну виручку, але потребувати глибшої переробки для вищої доданої вартості. Будівництво може мати великий попит, але потребувати проєктної готовності, матеріалів і праці. Машинобудування може зростати в оборонних нішах, але потребувати цивільної серійності. Хімія може підтримувати аграрний цикл, але залежати від газу та енергії. Усі ці сигнали мають бути зведені, але не змішані.</w:t>
      </w:r>
    </w:p>
    <w:p>
      <w:pPr>
        <w:pStyle w:val="Heading1"/>
      </w:pPr>
      <w:r>
        <w:rPr>
          <w:rFonts w:ascii="Arial" w:hAnsi="Arial" w:eastAsia="Arial"/>
          <w:b/>
          <w:i w:val="0"/>
          <w:color w:val="000000"/>
          <w:sz w:val="44"/>
        </w:rPr>
        <w:t>References used in this artifact</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секторальній агрегації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[2]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[3] S091 International Monetary Fund (IMF) — ukr [Електронний ресурс]. - www.imf.org. - null. - Режим доступу: https://www.imf.org/en/countries/ukr.</w:t>
      </w:r>
    </w:p>
    <w:p>
      <w:pPr/>
      <w:r>
        <w:rPr>
          <w:rFonts w:ascii="Arial" w:hAnsi="Arial" w:eastAsia="Arial"/>
          <w:b w:val="0"/>
          <w:i w:val="0"/>
          <w:color w:val="000000"/>
          <w:sz w:val="24"/>
        </w:rPr>
        <w:t>[4]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[5] S364 World Bank — Ukraine Macro Poverty Outlook, April 2026 [Електронний ресурс]. - thedocs.worldbank.org. - "2026-04". - Режим доступу: https://thedocs.worldbank.org/en/doc/d5f32ef28464d01f195827b7e020a3e8-0500022021/related/mpo-ukr.pdf.</w:t>
      </w:r>
    </w:p>
    <w:p>
      <w:pPr/>
      <w:r>
        <w:rPr>
          <w:rFonts w:ascii="Arial" w:hAnsi="Arial" w:eastAsia="Arial"/>
          <w:b w:val="0"/>
          <w:i w:val="0"/>
          <w:color w:val="000000"/>
          <w:sz w:val="24"/>
        </w:rPr>
        <w:t>[6] S365 EBRD — Ukraine maintains macroeconomic stability despite war [Електронний ресурс]. - ebrd.com. - "2026-02-26". - Режим доступу: https://www.ebrd.com/home/news-and-events/news/2026/ukraine-maintains-macroeconomic-stability-despite-war---ebrd-rep.html.</w:t>
      </w:r>
    </w:p>
    <w:p>
      <w:pPr/>
      <w:r>
        <w:rPr>
          <w:rFonts w:ascii="Arial" w:hAnsi="Arial" w:eastAsia="Arial"/>
          <w:b w:val="0"/>
          <w:i w:val="0"/>
          <w:color w:val="000000"/>
          <w:sz w:val="24"/>
        </w:rPr>
        <w:t>[7] S366 OECD — Ukraine Economic Snapshot [Електронний ресурс]. - oecd.org. - "live page; Dec 2025 projection note". - Режим доступу: https://www.oecd.org/en/topics/sub-issues/economic-surveys/ukraine-economic-snapshot.html.</w:t>
      </w:r>
    </w:p>
    <w:p>
      <w:pPr/>
      <w:r>
        <w:rPr>
          <w:rFonts w:ascii="Arial" w:hAnsi="Arial" w:eastAsia="Arial"/>
          <w:b w:val="0"/>
          <w:i w:val="0"/>
          <w:color w:val="000000"/>
          <w:sz w:val="24"/>
        </w:rPr>
        <w:t>[8] S367 NBU — Inflation Report, April 2026 [Електронний ресурс]. - bank.gov.ua. - "2026-04". - Режим доступу: https://bank.gov.ua/admin_uploads/article/IR_2026-Q2_summary_en.pdf?v=17.</w:t>
      </w:r>
    </w:p>
    <w:p>
      <w:pPr/>
      <w:r>
        <w:rPr>
          <w:rFonts w:ascii="Arial" w:hAnsi="Arial" w:eastAsia="Arial"/>
          <w:b w:val="0"/>
          <w:i w:val="0"/>
          <w:color w:val="000000"/>
          <w:sz w:val="24"/>
        </w:rPr>
        <w:t>[9] S368 worldsteel — Short Range Outlook April 2026 [Електронний ресурс]. - worldsteel.org. - "2026-04-14". - Режим доступу: https://worldsteel.org/media/press-releases/2026/worldsteel-short-range-outlook-april-2026/.</w:t>
      </w:r>
    </w:p>
    <w:p>
      <w:pPr/>
      <w:r>
        <w:rPr>
          <w:rFonts w:ascii="Arial" w:hAnsi="Arial" w:eastAsia="Arial"/>
          <w:b w:val="0"/>
          <w:i w:val="0"/>
          <w:color w:val="000000"/>
          <w:sz w:val="24"/>
        </w:rPr>
        <w:t>[10] S369 IEA — Electricity 2026 [Електронний ресурс]. - iea.org. - "2026". - Режим доступу: https://www.iea.org/reports/electricity-2026/executive-summary.</w:t>
      </w:r>
    </w:p>
    <w:p>
      <w:pPr/>
      <w:r>
        <w:rPr>
          <w:rFonts w:ascii="Arial" w:hAnsi="Arial" w:eastAsia="Arial"/>
          <w:b w:val="0"/>
          <w:i w:val="0"/>
          <w:color w:val="000000"/>
          <w:sz w:val="24"/>
        </w:rPr>
        <w:t>[11] S370 OECD‑FAO — Agricultural Outlook 2025–2034 [Електронний ресурс]. - oecd.org. - "2025-07". - Режим доступу: https://www.oecd.org/en/publications/2025/07/oecd-fao-agricultural-outlook-2025-2034_3eb15914.html.</w:t>
      </w:r>
    </w:p>
    <w:p>
      <w:pPr/>
      <w:r>
        <w:rPr>
          <w:rFonts w:ascii="Arial" w:hAnsi="Arial" w:eastAsia="Arial"/>
          <w:b w:val="0"/>
          <w:i w:val="0"/>
          <w:color w:val="000000"/>
          <w:sz w:val="24"/>
        </w:rPr>
        <w:t>[12] S371 European Commission — Carbon Border Adjustment Mechanism [Електронний ресурс]. - taxation-customs.ec.europa.eu. - "live page; definitive regime from 2026". - Режим доступу: https://taxation-customs.ec.europa.eu/carbon-border-adjustment-mechanism_en.</w:t>
      </w:r>
    </w:p>
    <w:p>
      <w:pPr/>
      <w:r>
        <w:rPr>
          <w:rFonts w:ascii="Arial" w:hAnsi="Arial" w:eastAsia="Arial"/>
          <w:b w:val="0"/>
          <w:i w:val="0"/>
          <w:color w:val="000000"/>
          <w:sz w:val="24"/>
        </w:rPr>
        <w:t>[13] S372 OECD. Ukraine’s Strategic Response to the Displacement Crisis [Електронний ресурс]. OECD, 2026. Режим доступу: https://www.oecd.org/en/publications/ukraine-s-strategic-response-to-the-displacement-crisis_9b773da4-en.html. Дата звернення: 2026-05-25.</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ebrd.com/home/news-and-events/news/2026/ukraine-maintains-macroeconomic-stability-despite-war---ebrd-re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