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Макроекономічний міст ВВП: від секторних доказів до національної траєкторії випуску до 2035 року</w:t>
      </w:r>
    </w:p>
    <w:p>
      <w:pPr>
        <w:jc w:val="both"/>
      </w:pPr>
      <w:r>
        <w:rPr>
          <w:rFonts w:ascii="Arial" w:hAnsi="Arial" w:eastAsia="Arial"/>
          <w:b w:val="0"/>
          <w:i w:val="0"/>
          <w:color w:val="000000"/>
          <w:sz w:val="24"/>
        </w:rPr>
        <w:t>У макроекономічному мосту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Макроекономічна стартова точка 2020-2025</w:t>
      </w:r>
    </w:p>
    <w:p>
      <w:pPr>
        <w:jc w:val="both"/>
      </w:pPr>
      <w:r>
        <w:rPr>
          <w:rFonts w:ascii="Arial" w:hAnsi="Arial" w:eastAsia="Arial"/>
          <w:b w:val="0"/>
          <w:i w:val="0"/>
          <w:color w:val="000000"/>
          <w:sz w:val="24"/>
        </w:rPr>
        <w:t xml:space="preserve">Стартова точка цього блоку не є одним роком і не є одним числом. [6] Для макроекономічного мосту важливий період </w:t>
      </w:r>
      <w:hyperlink r:id="rId9">
        <w:r>
          <w:rPr>
            <w:rFonts w:ascii="Arial" w:hAnsi="Arial" w:eastAsia="Arial"/>
            <w:sz w:val="24"/>
            <w:color w:val="0000EE"/>
            <w:u w:val="single"/>
          </w:rPr>
          <w:t>2020-2025 років</w:t>
        </w:r>
      </w:hyperlink>
      <w:r>
        <w:rPr>
          <w:rFonts w:ascii="Arial" w:hAnsi="Arial" w:eastAsia="Arial"/>
          <w:b w:val="0"/>
          <w:i w:val="0"/>
          <w:color w:val="000000"/>
          <w:sz w:val="24"/>
        </w:rPr>
        <w:t>: 2020 показує останню передвоєнну макроінерцію перед пандемічним і військовим вузлом, 2021 задає повний базовий рік перед повномасштабним вторгненням, 2022 фіксує шок, а 2023-2025 показують відновлення з різною якістю даних і різними розривами зіставності. Така рамка дозволяє відокремити статистичне відновлення після низької бази від реального повернення до довоєнної траєкторії.</w:t>
      </w:r>
    </w:p>
    <w:p>
      <w:pPr>
        <w:jc w:val="both"/>
      </w:pPr>
      <w:r>
        <w:rPr>
          <w:rFonts w:ascii="Arial" w:hAnsi="Arial" w:eastAsia="Arial"/>
          <w:b w:val="0"/>
          <w:i w:val="0"/>
          <w:color w:val="000000"/>
          <w:sz w:val="24"/>
        </w:rPr>
        <w:t xml:space="preserve">Зведені макроряди показують, що номінальний ВВП України зріс із </w:t>
      </w:r>
      <w:hyperlink r:id="rId10">
        <w:r>
          <w:rPr>
            <w:rFonts w:ascii="Arial" w:hAnsi="Arial" w:eastAsia="Arial"/>
            <w:sz w:val="24"/>
            <w:color w:val="0000EE"/>
            <w:u w:val="single"/>
          </w:rPr>
          <w:t>4,19 т</w:t>
        </w:r>
      </w:hyperlink>
      <w:r>
        <w:rPr>
          <w:rFonts w:ascii="Arial" w:hAnsi="Arial" w:eastAsia="Arial"/>
          <w:b w:val="0"/>
          <w:i w:val="0"/>
          <w:color w:val="000000"/>
          <w:sz w:val="24"/>
        </w:rPr>
        <w:t>рлн грн у 2020 році до 5,46 трлн грн у 2021 році, після чого воєнний шок 2022 року змінив масштаб і структуру економіки. [7]</w:t>
      </w:r>
    </w:p>
    <w:p>
      <w:pPr>
        <w:jc w:val="both"/>
      </w:pPr>
      <w:r>
        <w:rPr>
          <w:rFonts w:ascii="Arial" w:hAnsi="Arial" w:eastAsia="Arial"/>
          <w:b w:val="0"/>
          <w:i w:val="0"/>
          <w:color w:val="000000"/>
          <w:sz w:val="24"/>
        </w:rPr>
        <w:t xml:space="preserve">Для міжнародного порівняння важливий доларовий контур: [8] зовнішня оцінка ВВП у доларах становила близько </w:t>
      </w:r>
      <w:hyperlink r:id="rId11">
        <w:r>
          <w:rPr>
            <w:rFonts w:ascii="Arial" w:hAnsi="Arial" w:eastAsia="Arial"/>
            <w:sz w:val="24"/>
            <w:color w:val="0000EE"/>
            <w:u w:val="single"/>
          </w:rPr>
          <w:t>199,8 млрд</w:t>
        </w:r>
      </w:hyperlink>
      <w:r>
        <w:rPr>
          <w:rFonts w:ascii="Arial" w:hAnsi="Arial" w:eastAsia="Arial"/>
          <w:b w:val="0"/>
          <w:i w:val="0"/>
          <w:color w:val="000000"/>
          <w:sz w:val="24"/>
        </w:rPr>
        <w:t xml:space="preserve"> дол. у 2021 році та близько 162,0 млрд дол. у 2022 році, що показує одночасний вплив реального падіння, курсу, цін і зміни бази розрахунку.</w:t>
      </w:r>
    </w:p>
    <w:p>
      <w:pPr>
        <w:jc w:val="both"/>
      </w:pPr>
      <w:r>
        <w:rPr>
          <w:rFonts w:ascii="Arial" w:hAnsi="Arial" w:eastAsia="Arial"/>
          <w:b w:val="0"/>
          <w:i w:val="0"/>
          <w:color w:val="000000"/>
          <w:sz w:val="24"/>
        </w:rPr>
        <w:t>Демографічна база є окремим обмеженням: [9] національні демографічні дані фіксують падіння офіційної чисельності населення до 2022 року, а після 2022 року порівнянність населення і ринку праці стає одним із ключових ризиків макрооцінки.</w:t>
      </w:r>
    </w:p>
    <w:p>
      <w:pPr>
        <w:jc w:val="both"/>
      </w:pPr>
      <w:r>
        <w:rPr>
          <w:rFonts w:ascii="Arial" w:hAnsi="Arial" w:eastAsia="Arial"/>
          <w:b w:val="0"/>
          <w:i w:val="0"/>
          <w:color w:val="000000"/>
          <w:sz w:val="24"/>
        </w:rPr>
        <w:t>Оцінка трудового потенціалу потребує додаткового контролю, бо KSE Human Capital Chartbook 2025 окремо фіксує воєнні зміни людського капіталу, які впливають на потенційний випуск, продуктивність і здатність виконувати відбудовчі проєкти. [10]</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Рік</w:t>
            </w:r>
          </w:p>
        </w:tc>
        <w:tc>
          <w:tcPr>
            <w:tcW w:type="dxa" w:w="1247"/>
          </w:tcPr>
          <w:p>
            <w:pPr>
              <w:jc w:val="left"/>
            </w:pPr>
            <w:r/>
            <w:r>
              <w:rPr>
                <w:rFonts w:ascii="Arial" w:hAnsi="Arial" w:eastAsia="Arial"/>
                <w:b/>
                <w:i w:val="0"/>
                <w:color w:val="000000"/>
                <w:sz w:val="20"/>
              </w:rPr>
              <w:t>Номінальний ВВП, млн грн</w:t>
            </w:r>
          </w:p>
        </w:tc>
        <w:tc>
          <w:tcPr>
            <w:tcW w:type="dxa" w:w="1247"/>
          </w:tcPr>
          <w:p>
            <w:pPr>
              <w:jc w:val="left"/>
            </w:pPr>
            <w:r/>
            <w:r>
              <w:rPr>
                <w:rFonts w:ascii="Arial" w:hAnsi="Arial" w:eastAsia="Arial"/>
                <w:b/>
                <w:i w:val="0"/>
                <w:color w:val="000000"/>
                <w:sz w:val="20"/>
              </w:rPr>
              <w:t>ВВП, млн дол. США</w:t>
            </w:r>
          </w:p>
        </w:tc>
        <w:tc>
          <w:tcPr>
            <w:tcW w:type="dxa" w:w="1247"/>
          </w:tcPr>
          <w:p>
            <w:pPr>
              <w:jc w:val="left"/>
            </w:pPr>
            <w:r/>
            <w:r>
              <w:rPr>
                <w:rFonts w:ascii="Arial" w:hAnsi="Arial" w:eastAsia="Arial"/>
                <w:b/>
                <w:i w:val="0"/>
                <w:color w:val="000000"/>
                <w:sz w:val="20"/>
              </w:rPr>
              <w:t>Реальний ВВП, млн грн у цінах 2021</w:t>
            </w:r>
          </w:p>
        </w:tc>
        <w:tc>
          <w:tcPr>
            <w:tcW w:type="dxa" w:w="1247"/>
          </w:tcPr>
          <w:p>
            <w:pPr>
              <w:jc w:val="left"/>
            </w:pPr>
            <w:r/>
            <w:r>
              <w:rPr>
                <w:rFonts w:ascii="Arial" w:hAnsi="Arial" w:eastAsia="Arial"/>
                <w:b/>
                <w:i w:val="0"/>
                <w:color w:val="000000"/>
                <w:sz w:val="20"/>
              </w:rPr>
              <w:t>Індекс до 2021</w:t>
            </w:r>
          </w:p>
        </w:tc>
        <w:tc>
          <w:tcPr>
            <w:tcW w:type="dxa" w:w="1247"/>
          </w:tcPr>
          <w:p>
            <w:pPr>
              <w:jc w:val="left"/>
            </w:pPr>
            <w:r/>
            <w:r>
              <w:rPr>
                <w:rFonts w:ascii="Arial" w:hAnsi="Arial" w:eastAsia="Arial"/>
                <w:b/>
                <w:i w:val="0"/>
                <w:color w:val="000000"/>
                <w:sz w:val="20"/>
              </w:rPr>
              <w:t>Інтерпретація для цього блоку</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2020</w:t>
            </w:r>
          </w:p>
        </w:tc>
        <w:tc>
          <w:tcPr>
            <w:tcW w:type="dxa" w:w="1247"/>
          </w:tcPr>
          <w:p>
            <w:pPr>
              <w:jc w:val="left"/>
            </w:pPr>
            <w:r/>
            <w:r>
              <w:rPr>
                <w:rFonts w:ascii="Arial" w:hAnsi="Arial" w:eastAsia="Arial"/>
                <w:b w:val="0"/>
                <w:i w:val="0"/>
                <w:color w:val="000000"/>
                <w:sz w:val="20"/>
              </w:rPr>
              <w:t>4 194 102</w:t>
            </w:r>
          </w:p>
        </w:tc>
        <w:tc>
          <w:tcPr>
            <w:tcW w:type="dxa" w:w="1247"/>
          </w:tcPr>
          <w:p>
            <w:pPr>
              <w:jc w:val="left"/>
            </w:pPr>
            <w:r/>
            <w:r>
              <w:rPr>
                <w:rFonts w:ascii="Arial" w:hAnsi="Arial" w:eastAsia="Arial"/>
                <w:b w:val="0"/>
                <w:i w:val="0"/>
                <w:color w:val="000000"/>
                <w:sz w:val="20"/>
              </w:rPr>
              <w:t>155 582</w:t>
            </w:r>
          </w:p>
        </w:tc>
        <w:tc>
          <w:tcPr>
            <w:tcW w:type="dxa" w:w="1247"/>
          </w:tcPr>
          <w:p>
            <w:pPr>
              <w:jc w:val="left"/>
            </w:pPr>
            <w:r/>
            <w:r>
              <w:rPr>
                <w:rFonts w:ascii="Arial" w:hAnsi="Arial" w:eastAsia="Arial"/>
                <w:b w:val="0"/>
                <w:i w:val="0"/>
                <w:color w:val="000000"/>
                <w:sz w:val="20"/>
              </w:rPr>
              <w:t>3 818 456</w:t>
            </w:r>
          </w:p>
        </w:tc>
        <w:tc>
          <w:tcPr>
            <w:tcW w:type="dxa" w:w="1247"/>
          </w:tcPr>
          <w:p>
            <w:pPr>
              <w:jc w:val="left"/>
            </w:pPr>
            <w:r/>
            <w:r>
              <w:rPr>
                <w:rFonts w:ascii="Arial" w:hAnsi="Arial" w:eastAsia="Arial"/>
                <w:b w:val="0"/>
                <w:i w:val="0"/>
                <w:color w:val="000000"/>
                <w:sz w:val="20"/>
              </w:rPr>
              <w:t>87.5</w:t>
            </w:r>
          </w:p>
        </w:tc>
        <w:tc>
          <w:tcPr>
            <w:tcW w:type="dxa" w:w="1247"/>
          </w:tcPr>
          <w:p>
            <w:pPr>
              <w:jc w:val="left"/>
            </w:pPr>
            <w:r/>
            <w:r>
              <w:rPr>
                <w:rFonts w:ascii="Arial" w:hAnsi="Arial" w:eastAsia="Arial"/>
                <w:b w:val="0"/>
                <w:i w:val="0"/>
                <w:color w:val="000000"/>
                <w:sz w:val="20"/>
              </w:rPr>
              <w:t>офіційна база до повного вторгнення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2021</w:t>
            </w:r>
          </w:p>
        </w:tc>
        <w:tc>
          <w:tcPr>
            <w:tcW w:type="dxa" w:w="1247"/>
          </w:tcPr>
          <w:p>
            <w:pPr>
              <w:jc w:val="left"/>
            </w:pPr>
            <w:r/>
            <w:r>
              <w:rPr>
                <w:rFonts w:ascii="Arial" w:hAnsi="Arial" w:eastAsia="Arial"/>
                <w:b w:val="0"/>
                <w:i w:val="0"/>
                <w:color w:val="000000"/>
                <w:sz w:val="20"/>
              </w:rPr>
              <w:t>5 459 574</w:t>
            </w:r>
          </w:p>
        </w:tc>
        <w:tc>
          <w:tcPr>
            <w:tcW w:type="dxa" w:w="1247"/>
          </w:tcPr>
          <w:p>
            <w:pPr>
              <w:jc w:val="left"/>
            </w:pPr>
            <w:r/>
            <w:r>
              <w:rPr>
                <w:rFonts w:ascii="Arial" w:hAnsi="Arial" w:eastAsia="Arial"/>
                <w:b w:val="0"/>
                <w:i w:val="0"/>
                <w:color w:val="000000"/>
                <w:sz w:val="20"/>
              </w:rPr>
              <w:t>199 770</w:t>
            </w:r>
          </w:p>
        </w:tc>
        <w:tc>
          <w:tcPr>
            <w:tcW w:type="dxa" w:w="1247"/>
          </w:tcPr>
          <w:p>
            <w:pPr>
              <w:jc w:val="left"/>
            </w:pPr>
            <w:r/>
            <w:r>
              <w:rPr>
                <w:rFonts w:ascii="Arial" w:hAnsi="Arial" w:eastAsia="Arial"/>
                <w:b w:val="0"/>
                <w:i w:val="0"/>
                <w:color w:val="000000"/>
                <w:sz w:val="20"/>
              </w:rPr>
              <w:t>4 363 582</w:t>
            </w:r>
          </w:p>
        </w:tc>
        <w:tc>
          <w:tcPr>
            <w:tcW w:type="dxa" w:w="1247"/>
          </w:tcPr>
          <w:p>
            <w:pPr>
              <w:jc w:val="left"/>
            </w:pPr>
            <w:r/>
            <w:r>
              <w:rPr>
                <w:rFonts w:ascii="Arial" w:hAnsi="Arial" w:eastAsia="Arial"/>
                <w:b w:val="0"/>
                <w:i w:val="0"/>
                <w:color w:val="000000"/>
                <w:sz w:val="20"/>
              </w:rPr>
              <w:t>100.0</w:t>
            </w:r>
          </w:p>
        </w:tc>
        <w:tc>
          <w:tcPr>
            <w:tcW w:type="dxa" w:w="1247"/>
          </w:tcPr>
          <w:p>
            <w:pPr>
              <w:jc w:val="left"/>
            </w:pPr>
            <w:r/>
            <w:r>
              <w:rPr>
                <w:rFonts w:ascii="Arial" w:hAnsi="Arial" w:eastAsia="Arial"/>
                <w:b w:val="0"/>
                <w:i w:val="0"/>
                <w:color w:val="000000"/>
                <w:sz w:val="20"/>
              </w:rPr>
              <w:t>базовий рік порівняння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2022</w:t>
            </w:r>
          </w:p>
        </w:tc>
        <w:tc>
          <w:tcPr>
            <w:tcW w:type="dxa" w:w="1247"/>
          </w:tcPr>
          <w:p>
            <w:pPr>
              <w:jc w:val="left"/>
            </w:pPr>
            <w:r/>
            <w:r>
              <w:rPr>
                <w:rFonts w:ascii="Arial" w:hAnsi="Arial" w:eastAsia="Arial"/>
                <w:b w:val="0"/>
                <w:i w:val="0"/>
                <w:color w:val="000000"/>
                <w:sz w:val="20"/>
              </w:rPr>
              <w:t>5 191 028</w:t>
            </w:r>
          </w:p>
        </w:tc>
        <w:tc>
          <w:tcPr>
            <w:tcW w:type="dxa" w:w="1247"/>
          </w:tcPr>
          <w:p>
            <w:pPr>
              <w:jc w:val="left"/>
            </w:pPr>
            <w:r/>
            <w:r>
              <w:rPr>
                <w:rFonts w:ascii="Arial" w:hAnsi="Arial" w:eastAsia="Arial"/>
                <w:b w:val="0"/>
                <w:i w:val="0"/>
                <w:color w:val="000000"/>
                <w:sz w:val="20"/>
              </w:rPr>
              <w:t>161 990</w:t>
            </w:r>
          </w:p>
        </w:tc>
        <w:tc>
          <w:tcPr>
            <w:tcW w:type="dxa" w:w="1247"/>
          </w:tcPr>
          <w:p>
            <w:pPr>
              <w:jc w:val="left"/>
            </w:pPr>
            <w:r/>
            <w:r>
              <w:rPr>
                <w:rFonts w:ascii="Arial" w:hAnsi="Arial" w:eastAsia="Arial"/>
                <w:b w:val="0"/>
                <w:i w:val="0"/>
                <w:color w:val="000000"/>
                <w:sz w:val="20"/>
              </w:rPr>
              <w:t>3 865 780</w:t>
            </w:r>
          </w:p>
        </w:tc>
        <w:tc>
          <w:tcPr>
            <w:tcW w:type="dxa" w:w="1247"/>
          </w:tcPr>
          <w:p>
            <w:pPr>
              <w:jc w:val="left"/>
            </w:pPr>
            <w:r/>
            <w:r>
              <w:rPr>
                <w:rFonts w:ascii="Arial" w:hAnsi="Arial" w:eastAsia="Arial"/>
                <w:b w:val="0"/>
                <w:i w:val="0"/>
                <w:color w:val="000000"/>
                <w:sz w:val="20"/>
              </w:rPr>
              <w:t>88.6</w:t>
            </w:r>
          </w:p>
        </w:tc>
        <w:tc>
          <w:tcPr>
            <w:tcW w:type="dxa" w:w="1247"/>
          </w:tcPr>
          <w:p>
            <w:pPr>
              <w:jc w:val="left"/>
            </w:pPr>
            <w:r/>
            <w:r>
              <w:rPr>
                <w:rFonts w:ascii="Arial" w:hAnsi="Arial" w:eastAsia="Arial"/>
                <w:b w:val="0"/>
                <w:i w:val="0"/>
                <w:color w:val="000000"/>
                <w:sz w:val="20"/>
              </w:rPr>
              <w:t>воєнний шок і розрив зіставності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2023</w:t>
            </w:r>
          </w:p>
        </w:tc>
        <w:tc>
          <w:tcPr>
            <w:tcW w:type="dxa" w:w="1247"/>
          </w:tcPr>
          <w:p>
            <w:pPr>
              <w:jc w:val="left"/>
            </w:pPr>
            <w:r/>
            <w:r>
              <w:rPr>
                <w:rFonts w:ascii="Arial" w:hAnsi="Arial" w:eastAsia="Arial"/>
                <w:b w:val="0"/>
                <w:i w:val="0"/>
                <w:color w:val="000000"/>
                <w:sz w:val="20"/>
              </w:rPr>
              <w:t>6 537 825</w:t>
            </w:r>
          </w:p>
        </w:tc>
        <w:tc>
          <w:tcPr>
            <w:tcW w:type="dxa" w:w="1247"/>
          </w:tcPr>
          <w:p>
            <w:pPr>
              <w:jc w:val="left"/>
            </w:pPr>
            <w:r/>
            <w:r>
              <w:rPr>
                <w:rFonts w:ascii="Arial" w:hAnsi="Arial" w:eastAsia="Arial"/>
                <w:b w:val="0"/>
                <w:i w:val="0"/>
                <w:color w:val="000000"/>
                <w:sz w:val="20"/>
              </w:rPr>
              <w:t>181 220</w:t>
            </w:r>
          </w:p>
        </w:tc>
        <w:tc>
          <w:tcPr>
            <w:tcW w:type="dxa" w:w="1247"/>
          </w:tcPr>
          <w:p>
            <w:pPr>
              <w:jc w:val="left"/>
            </w:pPr>
            <w:r/>
            <w:r>
              <w:rPr>
                <w:rFonts w:ascii="Arial" w:hAnsi="Arial" w:eastAsia="Arial"/>
                <w:b w:val="0"/>
                <w:i w:val="0"/>
                <w:color w:val="000000"/>
                <w:sz w:val="20"/>
              </w:rPr>
              <w:t>н/д у зіставній інтерпретації</w:t>
            </w:r>
          </w:p>
        </w:tc>
        <w:tc>
          <w:tcPr>
            <w:tcW w:type="dxa" w:w="1247"/>
          </w:tcPr>
          <w:p>
            <w:pPr>
              <w:jc w:val="left"/>
            </w:pPr>
            <w:r/>
            <w:r>
              <w:rPr>
                <w:rFonts w:ascii="Arial" w:hAnsi="Arial" w:eastAsia="Arial"/>
                <w:b w:val="0"/>
                <w:i w:val="0"/>
                <w:color w:val="000000"/>
                <w:sz w:val="20"/>
              </w:rPr>
              <w:t>потребує перевірки</w:t>
            </w:r>
          </w:p>
        </w:tc>
        <w:tc>
          <w:tcPr>
            <w:tcW w:type="dxa" w:w="1247"/>
          </w:tcPr>
          <w:p>
            <w:pPr>
              <w:jc w:val="left"/>
            </w:pPr>
            <w:r/>
            <w:r>
              <w:rPr>
                <w:rFonts w:ascii="Arial" w:hAnsi="Arial" w:eastAsia="Arial"/>
                <w:b w:val="0"/>
                <w:i w:val="0"/>
                <w:color w:val="000000"/>
                <w:sz w:val="20"/>
              </w:rPr>
              <w:t>відновлення після низької бази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2024</w:t>
            </w:r>
          </w:p>
        </w:tc>
        <w:tc>
          <w:tcPr>
            <w:tcW w:type="dxa" w:w="1247"/>
          </w:tcPr>
          <w:p>
            <w:pPr>
              <w:jc w:val="left"/>
            </w:pPr>
            <w:r/>
            <w:r>
              <w:rPr>
                <w:rFonts w:ascii="Arial" w:hAnsi="Arial" w:eastAsia="Arial"/>
                <w:b w:val="0"/>
                <w:i w:val="0"/>
                <w:color w:val="000000"/>
                <w:sz w:val="20"/>
              </w:rPr>
              <w:t>7 658 659</w:t>
            </w:r>
          </w:p>
        </w:tc>
        <w:tc>
          <w:tcPr>
            <w:tcW w:type="dxa" w:w="1247"/>
          </w:tcPr>
          <w:p>
            <w:pPr>
              <w:jc w:val="left"/>
            </w:pPr>
            <w:r/>
            <w:r>
              <w:rPr>
                <w:rFonts w:ascii="Arial" w:hAnsi="Arial" w:eastAsia="Arial"/>
                <w:b w:val="0"/>
                <w:i w:val="0"/>
                <w:color w:val="000000"/>
                <w:sz w:val="20"/>
              </w:rPr>
              <w:t>190 740</w:t>
            </w:r>
          </w:p>
        </w:tc>
        <w:tc>
          <w:tcPr>
            <w:tcW w:type="dxa" w:w="1247"/>
          </w:tcPr>
          <w:p>
            <w:pPr>
              <w:jc w:val="left"/>
            </w:pPr>
            <w:r/>
            <w:r>
              <w:rPr>
                <w:rFonts w:ascii="Arial" w:hAnsi="Arial" w:eastAsia="Arial"/>
                <w:b w:val="0"/>
                <w:i w:val="0"/>
                <w:color w:val="000000"/>
                <w:sz w:val="20"/>
              </w:rPr>
              <w:t>н/д у зіставній інтерпретації</w:t>
            </w:r>
          </w:p>
        </w:tc>
        <w:tc>
          <w:tcPr>
            <w:tcW w:type="dxa" w:w="1247"/>
          </w:tcPr>
          <w:p>
            <w:pPr>
              <w:jc w:val="left"/>
            </w:pPr>
            <w:r/>
            <w:r>
              <w:rPr>
                <w:rFonts w:ascii="Arial" w:hAnsi="Arial" w:eastAsia="Arial"/>
                <w:b w:val="0"/>
                <w:i w:val="0"/>
                <w:color w:val="000000"/>
                <w:sz w:val="20"/>
              </w:rPr>
              <w:t>потребує перевірки</w:t>
            </w:r>
          </w:p>
        </w:tc>
        <w:tc>
          <w:tcPr>
            <w:tcW w:type="dxa" w:w="1247"/>
          </w:tcPr>
          <w:p>
            <w:pPr>
              <w:jc w:val="left"/>
            </w:pPr>
            <w:r/>
            <w:r>
              <w:rPr>
                <w:rFonts w:ascii="Arial" w:hAnsi="Arial" w:eastAsia="Arial"/>
                <w:b w:val="0"/>
                <w:i w:val="0"/>
                <w:color w:val="000000"/>
                <w:sz w:val="20"/>
              </w:rPr>
              <w:t>відновлення зі значними воєнними обмеженнями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2025</w:t>
            </w:r>
          </w:p>
        </w:tc>
        <w:tc>
          <w:tcPr>
            <w:tcW w:type="dxa" w:w="1247"/>
          </w:tcPr>
          <w:p>
            <w:pPr>
              <w:jc w:val="left"/>
            </w:pPr>
            <w:r/>
            <w:r>
              <w:rPr>
                <w:rFonts w:ascii="Arial" w:hAnsi="Arial" w:eastAsia="Arial"/>
                <w:b w:val="0"/>
                <w:i w:val="0"/>
                <w:color w:val="000000"/>
                <w:sz w:val="20"/>
              </w:rPr>
              <w:t>8 931 194</w:t>
            </w:r>
          </w:p>
        </w:tc>
        <w:tc>
          <w:tcPr>
            <w:tcW w:type="dxa" w:w="1247"/>
          </w:tcPr>
          <w:p>
            <w:pPr>
              <w:jc w:val="left"/>
            </w:pPr>
            <w:r/>
            <w:r>
              <w:rPr>
                <w:rFonts w:ascii="Arial" w:hAnsi="Arial" w:eastAsia="Arial"/>
                <w:b w:val="0"/>
                <w:i w:val="0"/>
                <w:color w:val="000000"/>
                <w:sz w:val="20"/>
              </w:rPr>
              <w:t>н/д</w:t>
            </w:r>
          </w:p>
        </w:tc>
        <w:tc>
          <w:tcPr>
            <w:tcW w:type="dxa" w:w="1247"/>
          </w:tcPr>
          <w:p>
            <w:pPr>
              <w:jc w:val="left"/>
            </w:pPr>
            <w:r/>
            <w:r>
              <w:rPr>
                <w:rFonts w:ascii="Arial" w:hAnsi="Arial" w:eastAsia="Arial"/>
                <w:b w:val="0"/>
                <w:i w:val="0"/>
                <w:color w:val="000000"/>
                <w:sz w:val="20"/>
              </w:rPr>
              <w:t>н/д у зіставній інтерпретації</w:t>
            </w:r>
          </w:p>
        </w:tc>
        <w:tc>
          <w:tcPr>
            <w:tcW w:type="dxa" w:w="1247"/>
          </w:tcPr>
          <w:p>
            <w:pPr>
              <w:jc w:val="left"/>
            </w:pPr>
            <w:r/>
            <w:r>
              <w:rPr>
                <w:rFonts w:ascii="Arial" w:hAnsi="Arial" w:eastAsia="Arial"/>
                <w:b w:val="0"/>
                <w:i w:val="0"/>
                <w:color w:val="000000"/>
                <w:sz w:val="20"/>
              </w:rPr>
              <w:t>робочий прогнозний вхід</w:t>
            </w:r>
          </w:p>
        </w:tc>
        <w:tc>
          <w:tcPr>
            <w:tcW w:type="dxa" w:w="1247"/>
          </w:tcPr>
          <w:p>
            <w:pPr>
              <w:jc w:val="left"/>
            </w:pPr>
            <w:r/>
            <w:r>
              <w:rPr>
                <w:rFonts w:ascii="Arial" w:hAnsi="Arial" w:eastAsia="Arial"/>
                <w:b w:val="0"/>
                <w:i w:val="0"/>
                <w:color w:val="000000"/>
                <w:sz w:val="20"/>
              </w:rPr>
              <w:t>перехід до сценарного горизонту</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Як формується 2020-2025 стартова точка. [6]</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Відокремити базовий рік, воєнний шок і період часткового відновлення.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індикатори</w:t>
            </w:r>
          </w:p>
        </w:tc>
        <w:tc>
          <w:tcPr>
            <w:tcW w:type="dxa" w:w="5102"/>
          </w:tcPr>
          <w:p>
            <w:pPr>
              <w:jc w:val="left"/>
            </w:pPr>
            <w:r/>
            <w:r>
              <w:rPr>
                <w:rFonts w:ascii="Arial" w:hAnsi="Arial" w:eastAsia="Arial"/>
                <w:b w:val="0"/>
                <w:i w:val="0"/>
                <w:color w:val="000000"/>
                <w:sz w:val="20"/>
              </w:rPr>
              <w:t>Номінальний ВВП, доларовий ВВП, реальний ВВП у зіставній базі, населення, курс, ринок праці, бюджет і зовнішній сектор.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w:t>
            </w:r>
          </w:p>
        </w:tc>
        <w:tc>
          <w:tcPr>
            <w:tcW w:type="dxa" w:w="5102"/>
          </w:tcPr>
          <w:p>
            <w:pPr>
              <w:jc w:val="left"/>
            </w:pPr>
            <w:r/>
            <w:r>
              <w:rPr>
                <w:rFonts w:ascii="Arial" w:hAnsi="Arial" w:eastAsia="Arial"/>
                <w:b w:val="0"/>
                <w:i w:val="0"/>
                <w:color w:val="000000"/>
                <w:sz w:val="20"/>
              </w:rPr>
              <w:t>2021 використовується як базовий індекс 100; 2022 фіксує шок; 2023-2025 трактуються з обережністю через методологічні та територіальні розриви.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Макроекономічні ряди повинні мати джерела - або прогнозні якорі -.: STAT_ВВП_за_виробничим_методом.xlsx; MINFIN__Ukraine_Reserves.xlsx; IMF; NBU</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Номінальне зростання у гривні не означає автоматичного реального відновлення.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Стартова точка є контрольованим вхідним шаром, а не готовим прогнозом.</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Інерційний прогноз ВВП до 2035 року</w:t>
      </w:r>
    </w:p>
    <w:p>
      <w:pPr>
        <w:jc w:val="both"/>
      </w:pPr>
      <w:r>
        <w:rPr>
          <w:rFonts w:ascii="Arial" w:hAnsi="Arial" w:eastAsia="Arial"/>
          <w:b w:val="0"/>
          <w:i w:val="0"/>
          <w:color w:val="000000"/>
          <w:sz w:val="24"/>
        </w:rPr>
        <w:t>Інерційний прогноз описує траєкторію, яка виникає за часткового пом’якшення обмежень без повного переходу до трансформаційної промислової програми. [11] Він не є бажаним сценарієм і не є шоковим мінімумом.</w:t>
      </w:r>
    </w:p>
    <w:p>
      <w:pPr>
        <w:jc w:val="both"/>
      </w:pPr>
      <w:r>
        <w:rPr>
          <w:rFonts w:ascii="Arial" w:hAnsi="Arial" w:eastAsia="Arial"/>
          <w:b w:val="0"/>
          <w:i w:val="0"/>
          <w:color w:val="000000"/>
          <w:sz w:val="24"/>
        </w:rPr>
        <w:t>Короткий горизонт контролюється прогнозними якорями: [12] МВФ подає для України власний макрофінансовий профіль, а Світовий банк, ЄБРР, ОЕСР і НБУ формують порівняльний коридор припущень щодо зростання, інфляції та ризиків.</w:t>
      </w:r>
    </w:p>
    <w:p>
      <w:pPr>
        <w:jc w:val="both"/>
      </w:pPr>
      <w:r>
        <w:rPr>
          <w:rFonts w:ascii="Arial" w:hAnsi="Arial" w:eastAsia="Arial"/>
          <w:b w:val="0"/>
          <w:i w:val="0"/>
          <w:color w:val="000000"/>
          <w:sz w:val="24"/>
        </w:rPr>
        <w:t>Світовий банк додає окрему рамку через Macro Poverty Outlook для України, який корисний для перевірки короткострокових темпів, але не замінює довгий сценарний прогноз до 2035 року. [13]</w:t>
      </w:r>
    </w:p>
    <w:p>
      <w:pPr>
        <w:jc w:val="both"/>
      </w:pPr>
      <w:r>
        <w:rPr>
          <w:rFonts w:ascii="Arial" w:hAnsi="Arial" w:eastAsia="Arial"/>
          <w:b w:val="0"/>
          <w:i w:val="0"/>
          <w:color w:val="000000"/>
          <w:sz w:val="24"/>
        </w:rPr>
        <w:t>ЄБРР важливий як індикатор безпекової чутливості, бо оцінює макроекономічну стабільність України в умовах війни, а така оцінка прямо впливає на припущення про інвестиції, премію ризику і відбудову. [1]</w:t>
      </w:r>
    </w:p>
    <w:p>
      <w:pPr>
        <w:jc w:val="both"/>
      </w:pPr>
      <w:r>
        <w:rPr>
          <w:rFonts w:ascii="Arial" w:hAnsi="Arial" w:eastAsia="Arial"/>
          <w:b w:val="0"/>
          <w:i w:val="0"/>
          <w:color w:val="000000"/>
          <w:sz w:val="24"/>
        </w:rPr>
        <w:t>НБУ формує внутрішню рамку, оскільки Inflation Report, April 2026 поєднує прогноз з інфляцією, ставкою, міжнародною допомогою та внутрішніми умовами. [1]</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Рік</w:t>
            </w:r>
          </w:p>
        </w:tc>
        <w:tc>
          <w:tcPr>
            <w:tcW w:type="dxa" w:w="1559"/>
          </w:tcPr>
          <w:p>
            <w:pPr>
              <w:jc w:val="left"/>
            </w:pPr>
            <w:r/>
            <w:r>
              <w:rPr>
                <w:rFonts w:ascii="Arial" w:hAnsi="Arial" w:eastAsia="Arial"/>
                <w:b/>
                <w:i w:val="0"/>
                <w:color w:val="000000"/>
                <w:sz w:val="20"/>
              </w:rPr>
              <w:t>Інерційна траєкторія</w:t>
            </w:r>
          </w:p>
        </w:tc>
        <w:tc>
          <w:tcPr>
            <w:tcW w:type="dxa" w:w="1559"/>
          </w:tcPr>
          <w:p>
            <w:pPr>
              <w:jc w:val="left"/>
            </w:pPr>
            <w:r/>
            <w:r>
              <w:rPr>
                <w:rFonts w:ascii="Arial" w:hAnsi="Arial" w:eastAsia="Arial"/>
                <w:b/>
                <w:i w:val="0"/>
                <w:color w:val="000000"/>
                <w:sz w:val="20"/>
              </w:rPr>
              <w:t>Базова траєкторія</w:t>
            </w:r>
          </w:p>
        </w:tc>
        <w:tc>
          <w:tcPr>
            <w:tcW w:type="dxa" w:w="1559"/>
          </w:tcPr>
          <w:p>
            <w:pPr>
              <w:jc w:val="left"/>
            </w:pPr>
            <w:r/>
            <w:r>
              <w:rPr>
                <w:rFonts w:ascii="Arial" w:hAnsi="Arial" w:eastAsia="Arial"/>
                <w:b/>
                <w:i w:val="0"/>
                <w:color w:val="000000"/>
                <w:sz w:val="20"/>
              </w:rPr>
              <w:t>Розрив до бази</w:t>
            </w:r>
          </w:p>
        </w:tc>
        <w:tc>
          <w:tcPr>
            <w:tcW w:type="dxa" w:w="1559"/>
          </w:tcPr>
          <w:p>
            <w:pPr>
              <w:jc w:val="left"/>
            </w:pPr>
            <w:r/>
            <w:r>
              <w:rPr>
                <w:rFonts w:ascii="Arial" w:hAnsi="Arial" w:eastAsia="Arial"/>
                <w:b/>
                <w:i w:val="0"/>
                <w:color w:val="000000"/>
                <w:sz w:val="20"/>
              </w:rPr>
              <w:t>Статус рядка</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2021</w:t>
            </w:r>
          </w:p>
        </w:tc>
        <w:tc>
          <w:tcPr>
            <w:tcW w:type="dxa" w:w="1559"/>
          </w:tcPr>
          <w:p>
            <w:pPr>
              <w:jc w:val="left"/>
            </w:pPr>
            <w:r/>
            <w:r>
              <w:rPr>
                <w:rFonts w:ascii="Arial" w:hAnsi="Arial" w:eastAsia="Arial"/>
                <w:b w:val="0"/>
                <w:i w:val="0"/>
                <w:color w:val="000000"/>
                <w:sz w:val="20"/>
              </w:rPr>
              <w:t>100.0</w:t>
            </w:r>
          </w:p>
        </w:tc>
        <w:tc>
          <w:tcPr>
            <w:tcW w:type="dxa" w:w="1559"/>
          </w:tcPr>
          <w:p>
            <w:pPr>
              <w:jc w:val="left"/>
            </w:pPr>
            <w:r/>
            <w:r>
              <w:rPr>
                <w:rFonts w:ascii="Arial" w:hAnsi="Arial" w:eastAsia="Arial"/>
                <w:b w:val="0"/>
                <w:i w:val="0"/>
                <w:color w:val="000000"/>
                <w:sz w:val="20"/>
              </w:rPr>
              <w:t>100.0</w:t>
            </w:r>
          </w:p>
        </w:tc>
        <w:tc>
          <w:tcPr>
            <w:tcW w:type="dxa" w:w="1559"/>
          </w:tcPr>
          <w:p>
            <w:pPr>
              <w:jc w:val="left"/>
            </w:pPr>
            <w:r/>
            <w:r>
              <w:rPr>
                <w:rFonts w:ascii="Arial" w:hAnsi="Arial" w:eastAsia="Arial"/>
                <w:b w:val="0"/>
                <w:i w:val="0"/>
                <w:color w:val="000000"/>
                <w:sz w:val="20"/>
              </w:rPr>
              <w:t>0.0</w:t>
            </w:r>
          </w:p>
        </w:tc>
        <w:tc>
          <w:tcPr>
            <w:tcW w:type="dxa" w:w="1559"/>
          </w:tcPr>
          <w:p>
            <w:pPr>
              <w:jc w:val="left"/>
            </w:pPr>
            <w:r/>
            <w:r>
              <w:rPr>
                <w:rFonts w:ascii="Arial" w:hAnsi="Arial" w:eastAsia="Arial"/>
                <w:b w:val="0"/>
                <w:i w:val="0"/>
                <w:color w:val="000000"/>
                <w:sz w:val="20"/>
              </w:rPr>
              <w:t>база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2022</w:t>
            </w:r>
          </w:p>
        </w:tc>
        <w:tc>
          <w:tcPr>
            <w:tcW w:type="dxa" w:w="1559"/>
          </w:tcPr>
          <w:p>
            <w:pPr>
              <w:jc w:val="left"/>
            </w:pPr>
            <w:r/>
            <w:r>
              <w:rPr>
                <w:rFonts w:ascii="Arial" w:hAnsi="Arial" w:eastAsia="Arial"/>
                <w:b w:val="0"/>
                <w:i w:val="0"/>
                <w:color w:val="000000"/>
                <w:sz w:val="20"/>
              </w:rPr>
              <w:t>88.6</w:t>
            </w:r>
          </w:p>
        </w:tc>
        <w:tc>
          <w:tcPr>
            <w:tcW w:type="dxa" w:w="1559"/>
          </w:tcPr>
          <w:p>
            <w:pPr>
              <w:jc w:val="left"/>
            </w:pPr>
            <w:r/>
            <w:r>
              <w:rPr>
                <w:rFonts w:ascii="Arial" w:hAnsi="Arial" w:eastAsia="Arial"/>
                <w:b w:val="0"/>
                <w:i w:val="0"/>
                <w:color w:val="000000"/>
                <w:sz w:val="20"/>
              </w:rPr>
              <w:t>102.8</w:t>
            </w:r>
          </w:p>
        </w:tc>
        <w:tc>
          <w:tcPr>
            <w:tcW w:type="dxa" w:w="1559"/>
          </w:tcPr>
          <w:p>
            <w:pPr>
              <w:jc w:val="left"/>
            </w:pPr>
            <w:r/>
            <w:r>
              <w:rPr>
                <w:rFonts w:ascii="Arial" w:hAnsi="Arial" w:eastAsia="Arial"/>
                <w:b w:val="0"/>
                <w:i w:val="0"/>
                <w:color w:val="000000"/>
                <w:sz w:val="20"/>
              </w:rPr>
              <w:t>-14.2</w:t>
            </w:r>
          </w:p>
        </w:tc>
        <w:tc>
          <w:tcPr>
            <w:tcW w:type="dxa" w:w="1559"/>
          </w:tcPr>
          <w:p>
            <w:pPr>
              <w:jc w:val="left"/>
            </w:pPr>
            <w:r/>
            <w:r>
              <w:rPr>
                <w:rFonts w:ascii="Arial" w:hAnsi="Arial" w:eastAsia="Arial"/>
                <w:b w:val="0"/>
                <w:i w:val="0"/>
                <w:color w:val="000000"/>
                <w:sz w:val="20"/>
              </w:rPr>
              <w:t>історична/робоча точка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2025</w:t>
            </w:r>
          </w:p>
        </w:tc>
        <w:tc>
          <w:tcPr>
            <w:tcW w:type="dxa" w:w="1559"/>
          </w:tcPr>
          <w:p>
            <w:pPr>
              <w:jc w:val="left"/>
            </w:pPr>
            <w:r/>
            <w:r>
              <w:rPr>
                <w:rFonts w:ascii="Arial" w:hAnsi="Arial" w:eastAsia="Arial"/>
                <w:b w:val="0"/>
                <w:i w:val="0"/>
                <w:color w:val="000000"/>
                <w:sz w:val="20"/>
              </w:rPr>
              <w:t>79.0</w:t>
            </w:r>
          </w:p>
        </w:tc>
        <w:tc>
          <w:tcPr>
            <w:tcW w:type="dxa" w:w="1559"/>
          </w:tcPr>
          <w:p>
            <w:pPr>
              <w:jc w:val="left"/>
            </w:pPr>
            <w:r/>
            <w:r>
              <w:rPr>
                <w:rFonts w:ascii="Arial" w:hAnsi="Arial" w:eastAsia="Arial"/>
                <w:b w:val="0"/>
                <w:i w:val="0"/>
                <w:color w:val="000000"/>
                <w:sz w:val="20"/>
              </w:rPr>
              <w:t>111.7</w:t>
            </w:r>
          </w:p>
        </w:tc>
        <w:tc>
          <w:tcPr>
            <w:tcW w:type="dxa" w:w="1559"/>
          </w:tcPr>
          <w:p>
            <w:pPr>
              <w:jc w:val="left"/>
            </w:pPr>
            <w:r/>
            <w:r>
              <w:rPr>
                <w:rFonts w:ascii="Arial" w:hAnsi="Arial" w:eastAsia="Arial"/>
                <w:b w:val="0"/>
                <w:i w:val="0"/>
                <w:color w:val="000000"/>
                <w:sz w:val="20"/>
              </w:rPr>
              <w:t>-32.7</w:t>
            </w:r>
          </w:p>
        </w:tc>
        <w:tc>
          <w:tcPr>
            <w:tcW w:type="dxa" w:w="1559"/>
          </w:tcPr>
          <w:p>
            <w:pPr>
              <w:jc w:val="left"/>
            </w:pPr>
            <w:r/>
            <w:r>
              <w:rPr>
                <w:rFonts w:ascii="Arial" w:hAnsi="Arial" w:eastAsia="Arial"/>
                <w:b w:val="0"/>
                <w:i w:val="0"/>
                <w:color w:val="000000"/>
                <w:sz w:val="20"/>
              </w:rPr>
              <w:t>історична/робоча точка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2026</w:t>
            </w:r>
          </w:p>
        </w:tc>
        <w:tc>
          <w:tcPr>
            <w:tcW w:type="dxa" w:w="1559"/>
          </w:tcPr>
          <w:p>
            <w:pPr>
              <w:jc w:val="left"/>
            </w:pPr>
            <w:r/>
            <w:r>
              <w:rPr>
                <w:rFonts w:ascii="Arial" w:hAnsi="Arial" w:eastAsia="Arial"/>
                <w:b w:val="0"/>
                <w:i w:val="0"/>
                <w:color w:val="000000"/>
                <w:sz w:val="20"/>
              </w:rPr>
              <w:t>80.2</w:t>
            </w:r>
          </w:p>
        </w:tc>
        <w:tc>
          <w:tcPr>
            <w:tcW w:type="dxa" w:w="1559"/>
          </w:tcPr>
          <w:p>
            <w:pPr>
              <w:jc w:val="left"/>
            </w:pPr>
            <w:r/>
            <w:r>
              <w:rPr>
                <w:rFonts w:ascii="Arial" w:hAnsi="Arial" w:eastAsia="Arial"/>
                <w:b w:val="0"/>
                <w:i w:val="0"/>
                <w:color w:val="000000"/>
                <w:sz w:val="20"/>
              </w:rPr>
              <w:t>114.8</w:t>
            </w:r>
          </w:p>
        </w:tc>
        <w:tc>
          <w:tcPr>
            <w:tcW w:type="dxa" w:w="1559"/>
          </w:tcPr>
          <w:p>
            <w:pPr>
              <w:jc w:val="left"/>
            </w:pPr>
            <w:r/>
            <w:r>
              <w:rPr>
                <w:rFonts w:ascii="Arial" w:hAnsi="Arial" w:eastAsia="Arial"/>
                <w:b w:val="0"/>
                <w:i w:val="0"/>
                <w:color w:val="000000"/>
                <w:sz w:val="20"/>
              </w:rPr>
              <w:t>-34.6</w:t>
            </w:r>
          </w:p>
        </w:tc>
        <w:tc>
          <w:tcPr>
            <w:tcW w:type="dxa" w:w="1559"/>
          </w:tcPr>
          <w:p>
            <w:pPr>
              <w:jc w:val="left"/>
            </w:pPr>
            <w:r/>
            <w:r>
              <w:rPr>
                <w:rFonts w:ascii="Arial" w:hAnsi="Arial" w:eastAsia="Arial"/>
                <w:b w:val="0"/>
                <w:i w:val="0"/>
                <w:color w:val="000000"/>
                <w:sz w:val="20"/>
              </w:rPr>
              <w:t>інерційне припущення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2027</w:t>
            </w:r>
          </w:p>
        </w:tc>
        <w:tc>
          <w:tcPr>
            <w:tcW w:type="dxa" w:w="1559"/>
          </w:tcPr>
          <w:p>
            <w:pPr>
              <w:jc w:val="left"/>
            </w:pPr>
            <w:r/>
            <w:r>
              <w:rPr>
                <w:rFonts w:ascii="Arial" w:hAnsi="Arial" w:eastAsia="Arial"/>
                <w:b w:val="0"/>
                <w:i w:val="0"/>
                <w:color w:val="000000"/>
                <w:sz w:val="20"/>
              </w:rPr>
              <w:t>81.8</w:t>
            </w:r>
          </w:p>
        </w:tc>
        <w:tc>
          <w:tcPr>
            <w:tcW w:type="dxa" w:w="1559"/>
          </w:tcPr>
          <w:p>
            <w:pPr>
              <w:jc w:val="left"/>
            </w:pPr>
            <w:r/>
            <w:r>
              <w:rPr>
                <w:rFonts w:ascii="Arial" w:hAnsi="Arial" w:eastAsia="Arial"/>
                <w:b w:val="0"/>
                <w:i w:val="0"/>
                <w:color w:val="000000"/>
                <w:sz w:val="20"/>
              </w:rPr>
              <w:t>118.0</w:t>
            </w:r>
          </w:p>
        </w:tc>
        <w:tc>
          <w:tcPr>
            <w:tcW w:type="dxa" w:w="1559"/>
          </w:tcPr>
          <w:p>
            <w:pPr>
              <w:jc w:val="left"/>
            </w:pPr>
            <w:r/>
            <w:r>
              <w:rPr>
                <w:rFonts w:ascii="Arial" w:hAnsi="Arial" w:eastAsia="Arial"/>
                <w:b w:val="0"/>
                <w:i w:val="0"/>
                <w:color w:val="000000"/>
                <w:sz w:val="20"/>
              </w:rPr>
              <w:t>-36.2</w:t>
            </w:r>
          </w:p>
        </w:tc>
        <w:tc>
          <w:tcPr>
            <w:tcW w:type="dxa" w:w="1559"/>
          </w:tcPr>
          <w:p>
            <w:pPr>
              <w:jc w:val="left"/>
            </w:pPr>
            <w:r/>
            <w:r>
              <w:rPr>
                <w:rFonts w:ascii="Arial" w:hAnsi="Arial" w:eastAsia="Arial"/>
                <w:b w:val="0"/>
                <w:i w:val="0"/>
                <w:color w:val="000000"/>
                <w:sz w:val="20"/>
              </w:rPr>
              <w:t>інерційне припущення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2028</w:t>
            </w:r>
          </w:p>
        </w:tc>
        <w:tc>
          <w:tcPr>
            <w:tcW w:type="dxa" w:w="1559"/>
          </w:tcPr>
          <w:p>
            <w:pPr>
              <w:jc w:val="left"/>
            </w:pPr>
            <w:r/>
            <w:r>
              <w:rPr>
                <w:rFonts w:ascii="Arial" w:hAnsi="Arial" w:eastAsia="Arial"/>
                <w:b w:val="0"/>
                <w:i w:val="0"/>
                <w:color w:val="000000"/>
                <w:sz w:val="20"/>
              </w:rPr>
              <w:t>83.6</w:t>
            </w:r>
          </w:p>
        </w:tc>
        <w:tc>
          <w:tcPr>
            <w:tcW w:type="dxa" w:w="1559"/>
          </w:tcPr>
          <w:p>
            <w:pPr>
              <w:jc w:val="left"/>
            </w:pPr>
            <w:r/>
            <w:r>
              <w:rPr>
                <w:rFonts w:ascii="Arial" w:hAnsi="Arial" w:eastAsia="Arial"/>
                <w:b w:val="0"/>
                <w:i w:val="0"/>
                <w:color w:val="000000"/>
                <w:sz w:val="20"/>
              </w:rPr>
              <w:t>121.3</w:t>
            </w:r>
          </w:p>
        </w:tc>
        <w:tc>
          <w:tcPr>
            <w:tcW w:type="dxa" w:w="1559"/>
          </w:tcPr>
          <w:p>
            <w:pPr>
              <w:jc w:val="left"/>
            </w:pPr>
            <w:r/>
            <w:r>
              <w:rPr>
                <w:rFonts w:ascii="Arial" w:hAnsi="Arial" w:eastAsia="Arial"/>
                <w:b w:val="0"/>
                <w:i w:val="0"/>
                <w:color w:val="000000"/>
                <w:sz w:val="20"/>
              </w:rPr>
              <w:t>-37.7</w:t>
            </w:r>
          </w:p>
        </w:tc>
        <w:tc>
          <w:tcPr>
            <w:tcW w:type="dxa" w:w="1559"/>
          </w:tcPr>
          <w:p>
            <w:pPr>
              <w:jc w:val="left"/>
            </w:pPr>
            <w:r/>
            <w:r>
              <w:rPr>
                <w:rFonts w:ascii="Arial" w:hAnsi="Arial" w:eastAsia="Arial"/>
                <w:b w:val="0"/>
                <w:i w:val="0"/>
                <w:color w:val="000000"/>
                <w:sz w:val="20"/>
              </w:rPr>
              <w:t>інерційне припущення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2030</w:t>
            </w:r>
          </w:p>
        </w:tc>
        <w:tc>
          <w:tcPr>
            <w:tcW w:type="dxa" w:w="1559"/>
          </w:tcPr>
          <w:p>
            <w:pPr>
              <w:jc w:val="left"/>
            </w:pPr>
            <w:r/>
            <w:r>
              <w:rPr>
                <w:rFonts w:ascii="Arial" w:hAnsi="Arial" w:eastAsia="Arial"/>
                <w:b w:val="0"/>
                <w:i w:val="0"/>
                <w:color w:val="000000"/>
                <w:sz w:val="20"/>
              </w:rPr>
              <w:t>87.5</w:t>
            </w:r>
          </w:p>
        </w:tc>
        <w:tc>
          <w:tcPr>
            <w:tcW w:type="dxa" w:w="1559"/>
          </w:tcPr>
          <w:p>
            <w:pPr>
              <w:jc w:val="left"/>
            </w:pPr>
            <w:r/>
            <w:r>
              <w:rPr>
                <w:rFonts w:ascii="Arial" w:hAnsi="Arial" w:eastAsia="Arial"/>
                <w:b w:val="0"/>
                <w:i w:val="0"/>
                <w:color w:val="000000"/>
                <w:sz w:val="20"/>
              </w:rPr>
              <w:t>128.2</w:t>
            </w:r>
          </w:p>
        </w:tc>
        <w:tc>
          <w:tcPr>
            <w:tcW w:type="dxa" w:w="1559"/>
          </w:tcPr>
          <w:p>
            <w:pPr>
              <w:jc w:val="left"/>
            </w:pPr>
            <w:r/>
            <w:r>
              <w:rPr>
                <w:rFonts w:ascii="Arial" w:hAnsi="Arial" w:eastAsia="Arial"/>
                <w:b w:val="0"/>
                <w:i w:val="0"/>
                <w:color w:val="000000"/>
                <w:sz w:val="20"/>
              </w:rPr>
              <w:t>-40.7</w:t>
            </w:r>
          </w:p>
        </w:tc>
        <w:tc>
          <w:tcPr>
            <w:tcW w:type="dxa" w:w="1559"/>
          </w:tcPr>
          <w:p>
            <w:pPr>
              <w:jc w:val="left"/>
            </w:pPr>
            <w:r/>
            <w:r>
              <w:rPr>
                <w:rFonts w:ascii="Arial" w:hAnsi="Arial" w:eastAsia="Arial"/>
                <w:b w:val="0"/>
                <w:i w:val="0"/>
                <w:color w:val="000000"/>
                <w:sz w:val="20"/>
              </w:rPr>
              <w:t>інерційне припущення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2035</w:t>
            </w:r>
          </w:p>
        </w:tc>
        <w:tc>
          <w:tcPr>
            <w:tcW w:type="dxa" w:w="1559"/>
          </w:tcPr>
          <w:p>
            <w:pPr>
              <w:jc w:val="left"/>
            </w:pPr>
            <w:r/>
            <w:r>
              <w:rPr>
                <w:rFonts w:ascii="Arial" w:hAnsi="Arial" w:eastAsia="Arial"/>
                <w:b w:val="0"/>
                <w:i w:val="0"/>
                <w:color w:val="000000"/>
                <w:sz w:val="20"/>
              </w:rPr>
              <w:t>96.8</w:t>
            </w:r>
          </w:p>
        </w:tc>
        <w:tc>
          <w:tcPr>
            <w:tcW w:type="dxa" w:w="1559"/>
          </w:tcPr>
          <w:p>
            <w:pPr>
              <w:jc w:val="left"/>
            </w:pPr>
            <w:r/>
            <w:r>
              <w:rPr>
                <w:rFonts w:ascii="Arial" w:hAnsi="Arial" w:eastAsia="Arial"/>
                <w:b w:val="0"/>
                <w:i w:val="0"/>
                <w:color w:val="000000"/>
                <w:sz w:val="20"/>
              </w:rPr>
              <w:t>147.2</w:t>
            </w:r>
          </w:p>
        </w:tc>
        <w:tc>
          <w:tcPr>
            <w:tcW w:type="dxa" w:w="1559"/>
          </w:tcPr>
          <w:p>
            <w:pPr>
              <w:jc w:val="left"/>
            </w:pPr>
            <w:r/>
            <w:r>
              <w:rPr>
                <w:rFonts w:ascii="Arial" w:hAnsi="Arial" w:eastAsia="Arial"/>
                <w:b w:val="0"/>
                <w:i w:val="0"/>
                <w:color w:val="000000"/>
                <w:sz w:val="20"/>
              </w:rPr>
              <w:t>-50.4</w:t>
            </w:r>
          </w:p>
        </w:tc>
        <w:tc>
          <w:tcPr>
            <w:tcW w:type="dxa" w:w="1559"/>
          </w:tcPr>
          <w:p>
            <w:pPr>
              <w:jc w:val="left"/>
            </w:pPr>
            <w:r/>
            <w:r>
              <w:rPr>
                <w:rFonts w:ascii="Arial" w:hAnsi="Arial" w:eastAsia="Arial"/>
                <w:b w:val="0"/>
                <w:i w:val="0"/>
                <w:color w:val="000000"/>
                <w:sz w:val="20"/>
              </w:rPr>
              <w:t>інерційне припущення</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ВВП_index(t)</w:t>
            </w:r>
          </w:p>
        </w:tc>
        <w:tc>
          <w:tcPr>
            <w:tcW w:type="dxa" w:w="5102"/>
          </w:tcPr>
          <w:p>
            <w:pPr>
              <w:jc w:val="left"/>
            </w:pPr>
            <w:r/>
            <w:r>
              <w:rPr>
                <w:rFonts w:ascii="Arial" w:hAnsi="Arial" w:eastAsia="Arial"/>
                <w:b w:val="0"/>
                <w:i w:val="0"/>
                <w:color w:val="000000"/>
                <w:sz w:val="20"/>
              </w:rPr>
              <w:t>індекс реального ВВП у році t.</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ВВП_index(t−1)</w:t>
            </w:r>
          </w:p>
        </w:tc>
        <w:tc>
          <w:tcPr>
            <w:tcW w:type="dxa" w:w="5102"/>
          </w:tcPr>
          <w:p>
            <w:pPr>
              <w:jc w:val="left"/>
            </w:pPr>
            <w:r/>
            <w:r>
              <w:rPr>
                <w:rFonts w:ascii="Arial" w:hAnsi="Arial" w:eastAsia="Arial"/>
                <w:b w:val="0"/>
                <w:i w:val="0"/>
                <w:color w:val="000000"/>
                <w:sz w:val="20"/>
              </w:rPr>
              <w:t>індекс попереднього року.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g_t</w:t>
            </w:r>
          </w:p>
        </w:tc>
        <w:tc>
          <w:tcPr>
            <w:tcW w:type="dxa" w:w="5102"/>
          </w:tcPr>
          <w:p>
            <w:pPr>
              <w:jc w:val="left"/>
            </w:pPr>
            <w:r/>
            <w:r>
              <w:rPr>
                <w:rFonts w:ascii="Arial" w:hAnsi="Arial" w:eastAsia="Arial"/>
                <w:b w:val="0"/>
                <w:i w:val="0"/>
                <w:color w:val="000000"/>
                <w:sz w:val="20"/>
              </w:rPr>
              <w:t>річний темп зростання в інерційному сценарії.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Темпи після 2028 року є сценарними припущеннями, що повинні бути перевірені через ризики, енергію, працю, логістику й інвестиції.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IMF; World Bank; EBRD; NBU</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Нижня траєкторія</w:t>
            </w:r>
          </w:p>
        </w:tc>
        <w:tc>
          <w:tcPr>
            <w:tcW w:type="dxa" w:w="5102"/>
          </w:tcPr>
          <w:p>
            <w:pPr>
              <w:jc w:val="left"/>
            </w:pPr>
            <w:r/>
            <w:r>
              <w:rPr>
                <w:rFonts w:ascii="Arial" w:hAnsi="Arial" w:eastAsia="Arial"/>
                <w:b w:val="0"/>
                <w:i w:val="0"/>
                <w:color w:val="000000"/>
                <w:sz w:val="20"/>
              </w:rPr>
              <w:t>відображає сильніші обмеження безпеки, енергетики, праці, фінансування або логістики.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Центральна траєкторія</w:t>
            </w:r>
          </w:p>
        </w:tc>
        <w:tc>
          <w:tcPr>
            <w:tcW w:type="dxa" w:w="5102"/>
          </w:tcPr>
          <w:p>
            <w:pPr>
              <w:jc w:val="left"/>
            </w:pPr>
            <w:r/>
            <w:r>
              <w:rPr>
                <w:rFonts w:ascii="Arial" w:hAnsi="Arial" w:eastAsia="Arial"/>
                <w:b w:val="0"/>
                <w:i w:val="0"/>
                <w:color w:val="000000"/>
                <w:sz w:val="20"/>
              </w:rPr>
              <w:t>відображає інерційне продовження за часткового пом’якшення обмежень.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Верхня траєкторія</w:t>
            </w:r>
          </w:p>
        </w:tc>
        <w:tc>
          <w:tcPr>
            <w:tcW w:type="dxa" w:w="5102"/>
          </w:tcPr>
          <w:p>
            <w:pPr>
              <w:jc w:val="left"/>
            </w:pPr>
            <w:r/>
            <w:r>
              <w:rPr>
                <w:rFonts w:ascii="Arial" w:hAnsi="Arial" w:eastAsia="Arial"/>
                <w:b w:val="0"/>
                <w:i w:val="0"/>
                <w:color w:val="000000"/>
                <w:sz w:val="20"/>
              </w:rPr>
              <w:t>відображає кращу реалізацію відбудови та інвестицій без повного переходу до трансформаційного сценарію.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Коридор не є ймовірнісним розподілом; це публічна рамка чутливості.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IMF; World Bank; EBRD; OECD; NBU</w:t>
            </w:r>
          </w:p>
        </w:tc>
        <w:tc>
          <w:tcPr>
            <w:tcW w:type="dxa" w:w="1247"/>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Як працює інерційний прогноз до 2035 року. [1]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Показати траєкторію за збереження поточних обмежень і поступової адаптації.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індикатори</w:t>
            </w:r>
          </w:p>
        </w:tc>
        <w:tc>
          <w:tcPr>
            <w:tcW w:type="dxa" w:w="5102"/>
          </w:tcPr>
          <w:p>
            <w:pPr>
              <w:jc w:val="left"/>
            </w:pPr>
            <w:r/>
            <w:r>
              <w:rPr>
                <w:rFonts w:ascii="Arial" w:hAnsi="Arial" w:eastAsia="Arial"/>
                <w:b w:val="0"/>
                <w:i w:val="0"/>
                <w:color w:val="000000"/>
                <w:sz w:val="20"/>
              </w:rPr>
              <w:t>Стартовий індекс ВВП, короткострокові прогнози, енергетичні та трудові обмеження, інвестиційний і зовнішній контур.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w:t>
            </w:r>
          </w:p>
        </w:tc>
        <w:tc>
          <w:tcPr>
            <w:tcW w:type="dxa" w:w="5102"/>
          </w:tcPr>
          <w:p>
            <w:pPr>
              <w:jc w:val="left"/>
            </w:pPr>
            <w:r/>
            <w:r>
              <w:rPr>
                <w:rFonts w:ascii="Arial" w:hAnsi="Arial" w:eastAsia="Arial"/>
                <w:b w:val="0"/>
                <w:i w:val="0"/>
                <w:color w:val="000000"/>
                <w:sz w:val="20"/>
              </w:rPr>
              <w:t>2026-2028 калібруються через зовнішні прогнози; 2030-2035 задаються як сценарне продовження з явними припущеннями.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Короткий горизонт має прогнозні джерела; довгий горизонт має формулу, припущення і caveat.</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Інерційна траєкторія не є бажаним майбутнім і не є автоматичною оцінкою урядової політики.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Вона показує ціну неповної реалізації промислового потенціалу.</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Компоненти ВВП: споживання, інвестиції, державний попит і чистий експорт</w:t>
      </w:r>
    </w:p>
    <w:p>
      <w:pPr>
        <w:jc w:val="both"/>
      </w:pPr>
      <w:r>
        <w:rPr>
          <w:rFonts w:ascii="Arial" w:hAnsi="Arial" w:eastAsia="Arial"/>
          <w:b w:val="0"/>
          <w:i w:val="0"/>
          <w:color w:val="000000"/>
          <w:sz w:val="24"/>
        </w:rPr>
        <w:t>Компоненти ВВП потрібні для того, щоб прогноз не був лише однією лінією. [1] Однаковий темп зростання може мати різну економічну якість. Зростання через споживання без інвестицій дає коротший ефект. Зростання через державний попит без приватного капіталу може підтримувати економіку, але не гарантує продуктивність. Зростання через імпортне виконання відбудови може збільшити активність, але послабити чистий експорт. Зростання через інвестиції, локалізацію, енергетичну стійкість і промислове виконання створює сильніший міст до майбутнього випуску.</w:t>
      </w:r>
    </w:p>
    <w:p>
      <w:pPr>
        <w:jc w:val="both"/>
      </w:pPr>
      <w:r>
        <w:rPr>
          <w:rFonts w:ascii="Arial" w:hAnsi="Arial" w:eastAsia="Arial"/>
          <w:b w:val="0"/>
          <w:i w:val="0"/>
          <w:color w:val="000000"/>
          <w:sz w:val="24"/>
        </w:rPr>
        <w:t>Метод кінцевого використання є основою для цієї частини, бо офіційна статистика кінцевого використання ВВП розкладає економіку на споживання, нагромадження, експорт та імпорт. [1]</w:t>
      </w:r>
    </w:p>
    <w:p>
      <w:pPr>
        <w:jc w:val="both"/>
      </w:pPr>
      <w:r>
        <w:rPr>
          <w:rFonts w:ascii="Arial" w:hAnsi="Arial" w:eastAsia="Arial"/>
          <w:b w:val="0"/>
          <w:i w:val="0"/>
          <w:color w:val="000000"/>
          <w:sz w:val="24"/>
        </w:rPr>
        <w:t>Чистий експорт пов’язаний із зовнішнім контуром, тому статистика платіжного балансу та поточного рахунку використовується як контрольний шар, але повна логіка зовнішнього сектору залишається предметом окремого документа. [1]</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Компонент</w:t>
            </w:r>
          </w:p>
        </w:tc>
        <w:tc>
          <w:tcPr>
            <w:tcW w:type="dxa" w:w="1559"/>
          </w:tcPr>
          <w:p>
            <w:pPr>
              <w:jc w:val="left"/>
            </w:pPr>
            <w:r/>
            <w:r>
              <w:rPr>
                <w:rFonts w:ascii="Arial" w:hAnsi="Arial" w:eastAsia="Arial"/>
                <w:b/>
                <w:i w:val="0"/>
                <w:color w:val="000000"/>
                <w:sz w:val="20"/>
              </w:rPr>
              <w:t>Українське пояснення</w:t>
            </w:r>
          </w:p>
        </w:tc>
        <w:tc>
          <w:tcPr>
            <w:tcW w:type="dxa" w:w="1559"/>
          </w:tcPr>
          <w:p>
            <w:pPr>
              <w:jc w:val="left"/>
            </w:pPr>
            <w:r/>
            <w:r>
              <w:rPr>
                <w:rFonts w:ascii="Arial" w:hAnsi="Arial" w:eastAsia="Arial"/>
                <w:b/>
                <w:i w:val="0"/>
                <w:color w:val="000000"/>
                <w:sz w:val="20"/>
              </w:rPr>
              <w:t>Ключовий драйвер у 2026-2035</w:t>
            </w:r>
          </w:p>
        </w:tc>
        <w:tc>
          <w:tcPr>
            <w:tcW w:type="dxa" w:w="1559"/>
          </w:tcPr>
          <w:p>
            <w:pPr>
              <w:jc w:val="left"/>
            </w:pPr>
            <w:r/>
            <w:r>
              <w:rPr>
                <w:rFonts w:ascii="Arial" w:hAnsi="Arial" w:eastAsia="Arial"/>
                <w:b/>
                <w:i w:val="0"/>
                <w:color w:val="000000"/>
                <w:sz w:val="20"/>
              </w:rPr>
              <w:t>Позитивний сигнал</w:t>
            </w:r>
          </w:p>
        </w:tc>
        <w:tc>
          <w:tcPr>
            <w:tcW w:type="dxa" w:w="1559"/>
          </w:tcPr>
          <w:p>
            <w:pPr>
              <w:jc w:val="left"/>
            </w:pPr>
            <w:r/>
            <w:r>
              <w:rPr>
                <w:rFonts w:ascii="Arial" w:hAnsi="Arial" w:eastAsia="Arial"/>
                <w:b/>
                <w:i w:val="0"/>
                <w:color w:val="000000"/>
                <w:sz w:val="20"/>
              </w:rPr>
              <w:t>Обмеження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C</w:t>
            </w:r>
          </w:p>
        </w:tc>
        <w:tc>
          <w:tcPr>
            <w:tcW w:type="dxa" w:w="1559"/>
          </w:tcPr>
          <w:p>
            <w:pPr>
              <w:jc w:val="left"/>
            </w:pPr>
            <w:r/>
            <w:r>
              <w:rPr>
                <w:rFonts w:ascii="Arial" w:hAnsi="Arial" w:eastAsia="Arial"/>
                <w:b w:val="0"/>
                <w:i w:val="0"/>
                <w:color w:val="000000"/>
                <w:sz w:val="20"/>
              </w:rPr>
              <w:t>кінцеве споживання домогосподарств та некомерційних організацій</w:t>
            </w:r>
          </w:p>
        </w:tc>
        <w:tc>
          <w:tcPr>
            <w:tcW w:type="dxa" w:w="1559"/>
          </w:tcPr>
          <w:p>
            <w:pPr>
              <w:jc w:val="left"/>
            </w:pPr>
            <w:r/>
            <w:r>
              <w:rPr>
                <w:rFonts w:ascii="Arial" w:hAnsi="Arial" w:eastAsia="Arial"/>
                <w:b w:val="0"/>
                <w:i w:val="0"/>
                <w:color w:val="000000"/>
                <w:sz w:val="20"/>
              </w:rPr>
              <w:t>реальні доходи, населення, повернення людей, зайнятість</w:t>
            </w:r>
          </w:p>
        </w:tc>
        <w:tc>
          <w:tcPr>
            <w:tcW w:type="dxa" w:w="1559"/>
          </w:tcPr>
          <w:p>
            <w:pPr>
              <w:jc w:val="left"/>
            </w:pPr>
            <w:r/>
            <w:r>
              <w:rPr>
                <w:rFonts w:ascii="Arial" w:hAnsi="Arial" w:eastAsia="Arial"/>
                <w:b w:val="0"/>
                <w:i w:val="0"/>
                <w:color w:val="000000"/>
                <w:sz w:val="20"/>
              </w:rPr>
              <w:t>стабілізація доходів і ринку праці</w:t>
            </w:r>
          </w:p>
        </w:tc>
        <w:tc>
          <w:tcPr>
            <w:tcW w:type="dxa" w:w="1559"/>
          </w:tcPr>
          <w:p>
            <w:pPr>
              <w:jc w:val="left"/>
            </w:pPr>
            <w:r/>
            <w:r>
              <w:rPr>
                <w:rFonts w:ascii="Arial" w:hAnsi="Arial" w:eastAsia="Arial"/>
                <w:b w:val="0"/>
                <w:i w:val="0"/>
                <w:color w:val="000000"/>
                <w:sz w:val="20"/>
              </w:rPr>
              <w:t>демографія, міграція, інфляція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I</w:t>
            </w:r>
          </w:p>
        </w:tc>
        <w:tc>
          <w:tcPr>
            <w:tcW w:type="dxa" w:w="1559"/>
          </w:tcPr>
          <w:p>
            <w:pPr>
              <w:jc w:val="left"/>
            </w:pPr>
            <w:r/>
            <w:r>
              <w:rPr>
                <w:rFonts w:ascii="Arial" w:hAnsi="Arial" w:eastAsia="Arial"/>
                <w:b w:val="0"/>
                <w:i w:val="0"/>
                <w:color w:val="000000"/>
                <w:sz w:val="20"/>
              </w:rPr>
              <w:t>валове нагромадження капіталу</w:t>
            </w:r>
          </w:p>
        </w:tc>
        <w:tc>
          <w:tcPr>
            <w:tcW w:type="dxa" w:w="1559"/>
          </w:tcPr>
          <w:p>
            <w:pPr>
              <w:jc w:val="left"/>
            </w:pPr>
            <w:r/>
            <w:r>
              <w:rPr>
                <w:rFonts w:ascii="Arial" w:hAnsi="Arial" w:eastAsia="Arial"/>
                <w:b w:val="0"/>
                <w:i w:val="0"/>
                <w:color w:val="000000"/>
                <w:sz w:val="20"/>
              </w:rPr>
              <w:t>відбудова, приватні інвестиції, обладнання, житло, інфраструктура</w:t>
            </w:r>
          </w:p>
        </w:tc>
        <w:tc>
          <w:tcPr>
            <w:tcW w:type="dxa" w:w="1559"/>
          </w:tcPr>
          <w:p>
            <w:pPr>
              <w:jc w:val="left"/>
            </w:pPr>
            <w:r/>
            <w:r>
              <w:rPr>
                <w:rFonts w:ascii="Arial" w:hAnsi="Arial" w:eastAsia="Arial"/>
                <w:b w:val="0"/>
                <w:i w:val="0"/>
                <w:color w:val="000000"/>
                <w:sz w:val="20"/>
              </w:rPr>
              <w:t>перехід потреб у виконані проєкти</w:t>
            </w:r>
          </w:p>
        </w:tc>
        <w:tc>
          <w:tcPr>
            <w:tcW w:type="dxa" w:w="1559"/>
          </w:tcPr>
          <w:p>
            <w:pPr>
              <w:jc w:val="left"/>
            </w:pPr>
            <w:r/>
            <w:r>
              <w:rPr>
                <w:rFonts w:ascii="Arial" w:hAnsi="Arial" w:eastAsia="Arial"/>
                <w:b w:val="0"/>
                <w:i w:val="0"/>
                <w:color w:val="000000"/>
                <w:sz w:val="20"/>
              </w:rPr>
              <w:t>ризик, капітал, енергія, кадри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G</w:t>
            </w:r>
          </w:p>
        </w:tc>
        <w:tc>
          <w:tcPr>
            <w:tcW w:type="dxa" w:w="1559"/>
          </w:tcPr>
          <w:p>
            <w:pPr>
              <w:jc w:val="left"/>
            </w:pPr>
            <w:r/>
            <w:r>
              <w:rPr>
                <w:rFonts w:ascii="Arial" w:hAnsi="Arial" w:eastAsia="Arial"/>
                <w:b w:val="0"/>
                <w:i w:val="0"/>
                <w:color w:val="000000"/>
                <w:sz w:val="20"/>
              </w:rPr>
              <w:t>державне кінцеве споживання</w:t>
            </w:r>
          </w:p>
        </w:tc>
        <w:tc>
          <w:tcPr>
            <w:tcW w:type="dxa" w:w="1559"/>
          </w:tcPr>
          <w:p>
            <w:pPr>
              <w:jc w:val="left"/>
            </w:pPr>
            <w:r/>
            <w:r>
              <w:rPr>
                <w:rFonts w:ascii="Arial" w:hAnsi="Arial" w:eastAsia="Arial"/>
                <w:b w:val="0"/>
                <w:i w:val="0"/>
                <w:color w:val="000000"/>
                <w:sz w:val="20"/>
              </w:rPr>
              <w:t>оборона, безпека, адміністративні та соціальні функції</w:t>
            </w:r>
          </w:p>
        </w:tc>
        <w:tc>
          <w:tcPr>
            <w:tcW w:type="dxa" w:w="1559"/>
          </w:tcPr>
          <w:p>
            <w:pPr>
              <w:jc w:val="left"/>
            </w:pPr>
            <w:r/>
            <w:r>
              <w:rPr>
                <w:rFonts w:ascii="Arial" w:hAnsi="Arial" w:eastAsia="Arial"/>
                <w:b w:val="0"/>
                <w:i w:val="0"/>
                <w:color w:val="000000"/>
                <w:sz w:val="20"/>
              </w:rPr>
              <w:t>стабілізація попиту і базових послуг</w:t>
            </w:r>
          </w:p>
        </w:tc>
        <w:tc>
          <w:tcPr>
            <w:tcW w:type="dxa" w:w="1559"/>
          </w:tcPr>
          <w:p>
            <w:pPr>
              <w:jc w:val="left"/>
            </w:pPr>
            <w:r/>
            <w:r>
              <w:rPr>
                <w:rFonts w:ascii="Arial" w:hAnsi="Arial" w:eastAsia="Arial"/>
                <w:b w:val="0"/>
                <w:i w:val="0"/>
                <w:color w:val="000000"/>
                <w:sz w:val="20"/>
              </w:rPr>
              <w:t>фіскальна залежність, зовнішнє фінансування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NX</w:t>
            </w:r>
          </w:p>
        </w:tc>
        <w:tc>
          <w:tcPr>
            <w:tcW w:type="dxa" w:w="1559"/>
          </w:tcPr>
          <w:p>
            <w:pPr>
              <w:jc w:val="left"/>
            </w:pPr>
            <w:r/>
            <w:r>
              <w:rPr>
                <w:rFonts w:ascii="Arial" w:hAnsi="Arial" w:eastAsia="Arial"/>
                <w:b w:val="0"/>
                <w:i w:val="0"/>
                <w:color w:val="000000"/>
                <w:sz w:val="20"/>
              </w:rPr>
              <w:t>чистий експорт: експорт мінус імпорт</w:t>
            </w:r>
          </w:p>
        </w:tc>
        <w:tc>
          <w:tcPr>
            <w:tcW w:type="dxa" w:w="1559"/>
          </w:tcPr>
          <w:p>
            <w:pPr>
              <w:jc w:val="left"/>
            </w:pPr>
            <w:r/>
            <w:r>
              <w:rPr>
                <w:rFonts w:ascii="Arial" w:hAnsi="Arial" w:eastAsia="Arial"/>
                <w:b w:val="0"/>
                <w:i w:val="0"/>
                <w:color w:val="000000"/>
                <w:sz w:val="20"/>
              </w:rPr>
              <w:t>товарний експорт, послуги, імпорт енергії, обладнання і товарів</w:t>
            </w:r>
          </w:p>
        </w:tc>
        <w:tc>
          <w:tcPr>
            <w:tcW w:type="dxa" w:w="1559"/>
          </w:tcPr>
          <w:p>
            <w:pPr>
              <w:jc w:val="left"/>
            </w:pPr>
            <w:r/>
            <w:r>
              <w:rPr>
                <w:rFonts w:ascii="Arial" w:hAnsi="Arial" w:eastAsia="Arial"/>
                <w:b w:val="0"/>
                <w:i w:val="0"/>
                <w:color w:val="000000"/>
                <w:sz w:val="20"/>
              </w:rPr>
              <w:t>розширення експорту та логістики</w:t>
            </w:r>
          </w:p>
        </w:tc>
        <w:tc>
          <w:tcPr>
            <w:tcW w:type="dxa" w:w="1559"/>
          </w:tcPr>
          <w:p>
            <w:pPr>
              <w:jc w:val="left"/>
            </w:pPr>
            <w:r/>
            <w:r>
              <w:rPr>
                <w:rFonts w:ascii="Arial" w:hAnsi="Arial" w:eastAsia="Arial"/>
                <w:b w:val="0"/>
                <w:i w:val="0"/>
                <w:color w:val="000000"/>
                <w:sz w:val="20"/>
              </w:rPr>
              <w:t>імпортна залежність і вузькі місця</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Пояснити якість зростання, а не лише темп ВВП.</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індикатори</w:t>
            </w:r>
          </w:p>
        </w:tc>
        <w:tc>
          <w:tcPr>
            <w:tcW w:type="dxa" w:w="5102"/>
          </w:tcPr>
          <w:p>
            <w:pPr>
              <w:jc w:val="left"/>
            </w:pPr>
            <w:r/>
            <w:r>
              <w:rPr>
                <w:rFonts w:ascii="Arial" w:hAnsi="Arial" w:eastAsia="Arial"/>
                <w:b w:val="0"/>
                <w:i w:val="0"/>
                <w:color w:val="000000"/>
                <w:sz w:val="20"/>
              </w:rPr>
              <w:t>Споживання, валове нагромадження, державні витрати, експорт, імпорт.</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w:t>
            </w:r>
          </w:p>
        </w:tc>
        <w:tc>
          <w:tcPr>
            <w:tcW w:type="dxa" w:w="5102"/>
          </w:tcPr>
          <w:p>
            <w:pPr>
              <w:jc w:val="left"/>
            </w:pPr>
            <w:r/>
            <w:r>
              <w:rPr>
                <w:rFonts w:ascii="Arial" w:hAnsi="Arial" w:eastAsia="Arial"/>
                <w:b w:val="0"/>
                <w:i w:val="0"/>
                <w:color w:val="000000"/>
                <w:sz w:val="20"/>
              </w:rPr>
              <w:t>Кожен компонент читається як канал попиту; зміна одного компонента може посилити або послабити інший.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Компоненти мають спиратися на метод кінцевого використання та допоміжні бюджетні/зовнішні джерела.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Високий імпорт обладнання може підтримувати інвестиції, але погіршувати NX у короткому горизонті.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Сильніший ВВП виникає тоді, коли інвестиції та локальне виконання підсилюють виробничу базу.</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База 2021 року і довоєнна траєкторія</w:t>
      </w:r>
    </w:p>
    <w:p>
      <w:pPr>
        <w:jc w:val="both"/>
      </w:pPr>
      <w:r>
        <w:rPr>
          <w:rFonts w:ascii="Arial" w:hAnsi="Arial" w:eastAsia="Arial"/>
          <w:b w:val="0"/>
          <w:i w:val="0"/>
          <w:color w:val="000000"/>
          <w:sz w:val="24"/>
        </w:rPr>
        <w:t>База 2021 року використовується як останній повний рік перед повномасштабним вторгненням і як практична точка для нормування індексу ВВП. [1] Вона не є ідеальним станом економіки. До 2022 року Україна вже мала структурні обмеження: наслідки попередніх шоків, неповну модернізацію промисловості, демографічний тиск, інвестиційну нерівномірність і залежність від зовнішніх ринків. Тому повернення до 2021 року означає відновлення масштабу, але не автоматичну компенсацію втраченої траєкторії.</w:t>
      </w:r>
    </w:p>
    <w:p>
      <w:pPr>
        <w:jc w:val="both"/>
      </w:pPr>
      <w:r>
        <w:rPr>
          <w:rFonts w:ascii="Arial" w:hAnsi="Arial" w:eastAsia="Arial"/>
          <w:b w:val="0"/>
          <w:i w:val="0"/>
          <w:color w:val="000000"/>
          <w:sz w:val="24"/>
        </w:rPr>
        <w:t>2021 рік є зручним базовим роком, бо зведені ряди ВВП подають для нього номінальний, доларовий і реальний виміри, а національні рахунки дозволяють перевірити його через виробничий, витратний і розподільчий погляди. [1]</w:t>
      </w:r>
    </w:p>
    <w:p>
      <w:pPr>
        <w:jc w:val="both"/>
      </w:pPr>
      <w:r>
        <w:rPr>
          <w:rFonts w:ascii="Arial" w:hAnsi="Arial" w:eastAsia="Arial"/>
          <w:b w:val="0"/>
          <w:i w:val="0"/>
          <w:color w:val="000000"/>
          <w:sz w:val="24"/>
        </w:rPr>
        <w:t xml:space="preserve">Для довшого порівняння корисні ряди ВВП </w:t>
      </w:r>
      <w:hyperlink r:id="rId12">
        <w:r>
          <w:rPr>
            <w:rFonts w:ascii="Arial" w:hAnsi="Arial" w:eastAsia="Arial"/>
            <w:sz w:val="24"/>
            <w:color w:val="0000EE"/>
            <w:u w:val="single"/>
          </w:rPr>
          <w:t>2010-2021 т</w:t>
        </w:r>
      </w:hyperlink>
      <w:r>
        <w:rPr>
          <w:rFonts w:ascii="Arial" w:hAnsi="Arial" w:eastAsia="Arial"/>
          <w:b w:val="0"/>
          <w:i w:val="0"/>
          <w:color w:val="000000"/>
          <w:sz w:val="24"/>
        </w:rPr>
        <w:t>а 2022-2025 у постійних цінах 2021 року післявоєнний квартальний шар у постійних цінах, але вони мають читатися з обережністю через воєнні й територіальні розриви після 2022 року. [1]</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Показник</w:t>
            </w:r>
          </w:p>
        </w:tc>
        <w:tc>
          <w:tcPr>
            <w:tcW w:type="dxa" w:w="2081"/>
          </w:tcPr>
          <w:p>
            <w:pPr>
              <w:jc w:val="left"/>
            </w:pPr>
            <w:r/>
            <w:r>
              <w:rPr>
                <w:rFonts w:ascii="Arial" w:hAnsi="Arial" w:eastAsia="Arial"/>
                <w:b/>
                <w:i w:val="0"/>
                <w:color w:val="000000"/>
                <w:sz w:val="20"/>
              </w:rPr>
              <w:t>Рівень / правило</w:t>
            </w:r>
          </w:p>
        </w:tc>
        <w:tc>
          <w:tcPr>
            <w:tcW w:type="dxa" w:w="2081"/>
          </w:tcPr>
          <w:p>
            <w:pPr>
              <w:jc w:val="left"/>
            </w:pPr>
            <w:r/>
            <w:r>
              <w:rPr>
                <w:rFonts w:ascii="Arial" w:hAnsi="Arial" w:eastAsia="Arial"/>
                <w:b/>
                <w:i w:val="0"/>
                <w:color w:val="000000"/>
                <w:sz w:val="20"/>
              </w:rPr>
              <w:t>Навіщо використовується</w:t>
            </w:r>
          </w:p>
        </w:tc>
        <w:tc>
          <w:tcPr>
            <w:tcW w:type="dxa" w:w="2081"/>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Базовий рік</w:t>
            </w:r>
          </w:p>
        </w:tc>
        <w:tc>
          <w:tcPr>
            <w:tcW w:type="dxa" w:w="2081"/>
          </w:tcPr>
          <w:p>
            <w:pPr>
              <w:jc w:val="left"/>
            </w:pPr>
            <w:r/>
            <w:r>
              <w:rPr>
                <w:rFonts w:ascii="Arial" w:hAnsi="Arial" w:eastAsia="Arial"/>
                <w:b w:val="0"/>
                <w:i w:val="0"/>
                <w:color w:val="000000"/>
                <w:sz w:val="20"/>
              </w:rPr>
              <w:t>2021 = 100</w:t>
            </w:r>
          </w:p>
        </w:tc>
        <w:tc>
          <w:tcPr>
            <w:tcW w:type="dxa" w:w="2081"/>
          </w:tcPr>
          <w:p>
            <w:pPr>
              <w:jc w:val="left"/>
            </w:pPr>
            <w:r/>
            <w:r>
              <w:rPr>
                <w:rFonts w:ascii="Arial" w:hAnsi="Arial" w:eastAsia="Arial"/>
                <w:b w:val="0"/>
                <w:i w:val="0"/>
                <w:color w:val="000000"/>
                <w:sz w:val="20"/>
              </w:rPr>
              <w:t>нормування ВВП і контроль відновлення масштабу</w:t>
            </w:r>
          </w:p>
        </w:tc>
        <w:tc>
          <w:tcPr>
            <w:tcW w:type="dxa" w:w="2081"/>
          </w:tcPr>
          <w:p>
            <w:pPr>
              <w:jc w:val="left"/>
            </w:pPr>
            <w:r/>
            <w:r>
              <w:rPr>
                <w:rFonts w:ascii="Arial" w:hAnsi="Arial" w:eastAsia="Arial"/>
                <w:b w:val="0"/>
                <w:i w:val="0"/>
                <w:color w:val="000000"/>
                <w:sz w:val="20"/>
              </w:rPr>
              <w:t>не є ідеальною економічною структурою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Довоєнна траєкторія</w:t>
            </w:r>
          </w:p>
        </w:tc>
        <w:tc>
          <w:tcPr>
            <w:tcW w:type="dxa" w:w="2081"/>
          </w:tcPr>
          <w:p>
            <w:pPr>
              <w:jc w:val="left"/>
            </w:pPr>
            <w:r/>
            <w:r>
              <w:rPr>
                <w:rFonts w:ascii="Arial" w:hAnsi="Arial" w:eastAsia="Arial"/>
                <w:b w:val="0"/>
                <w:i w:val="0"/>
                <w:color w:val="000000"/>
                <w:sz w:val="20"/>
              </w:rPr>
              <w:t>умовна траєкторія з помірним щорічним зростанням</w:t>
            </w:r>
          </w:p>
        </w:tc>
        <w:tc>
          <w:tcPr>
            <w:tcW w:type="dxa" w:w="2081"/>
          </w:tcPr>
          <w:p>
            <w:pPr>
              <w:jc w:val="left"/>
            </w:pPr>
            <w:r/>
            <w:r>
              <w:rPr>
                <w:rFonts w:ascii="Arial" w:hAnsi="Arial" w:eastAsia="Arial"/>
                <w:b w:val="0"/>
                <w:i w:val="0"/>
                <w:color w:val="000000"/>
                <w:sz w:val="20"/>
              </w:rPr>
              <w:t>оцінка розриву між потенційним і інерційним шляхом</w:t>
            </w:r>
          </w:p>
        </w:tc>
        <w:tc>
          <w:tcPr>
            <w:tcW w:type="dxa" w:w="2081"/>
          </w:tcPr>
          <w:p>
            <w:pPr>
              <w:jc w:val="left"/>
            </w:pPr>
            <w:r/>
            <w:r>
              <w:rPr>
                <w:rFonts w:ascii="Arial" w:hAnsi="Arial" w:eastAsia="Arial"/>
                <w:b w:val="0"/>
                <w:i w:val="0"/>
                <w:color w:val="000000"/>
                <w:sz w:val="20"/>
              </w:rPr>
              <w:t>не є фактом, а контрольним порівнянням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Інерційна траєкторія</w:t>
            </w:r>
          </w:p>
        </w:tc>
        <w:tc>
          <w:tcPr>
            <w:tcW w:type="dxa" w:w="2081"/>
          </w:tcPr>
          <w:p>
            <w:pPr>
              <w:jc w:val="left"/>
            </w:pPr>
            <w:r/>
            <w:r>
              <w:rPr>
                <w:rFonts w:ascii="Arial" w:hAnsi="Arial" w:eastAsia="Arial"/>
                <w:b w:val="0"/>
                <w:i w:val="0"/>
                <w:color w:val="000000"/>
                <w:sz w:val="20"/>
              </w:rPr>
              <w:t>2026-2035 як сценарне продовження</w:t>
            </w:r>
          </w:p>
        </w:tc>
        <w:tc>
          <w:tcPr>
            <w:tcW w:type="dxa" w:w="2081"/>
          </w:tcPr>
          <w:p>
            <w:pPr>
              <w:jc w:val="left"/>
            </w:pPr>
            <w:r/>
            <w:r>
              <w:rPr>
                <w:rFonts w:ascii="Arial" w:hAnsi="Arial" w:eastAsia="Arial"/>
                <w:b w:val="0"/>
                <w:i w:val="0"/>
                <w:color w:val="000000"/>
                <w:sz w:val="20"/>
              </w:rPr>
              <w:t>оцінка результату за часткового пом’якшення обмежень</w:t>
            </w:r>
          </w:p>
        </w:tc>
        <w:tc>
          <w:tcPr>
            <w:tcW w:type="dxa" w:w="2081"/>
          </w:tcPr>
          <w:p>
            <w:pPr>
              <w:jc w:val="left"/>
            </w:pPr>
            <w:r/>
            <w:r>
              <w:rPr>
                <w:rFonts w:ascii="Arial" w:hAnsi="Arial" w:eastAsia="Arial"/>
                <w:b w:val="0"/>
                <w:i w:val="0"/>
                <w:color w:val="000000"/>
                <w:sz w:val="20"/>
              </w:rPr>
              <w:t>залежить від припущень щодо безпеки, праці, енергії та інвестицій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Розрив</w:t>
            </w:r>
          </w:p>
        </w:tc>
        <w:tc>
          <w:tcPr>
            <w:tcW w:type="dxa" w:w="2081"/>
          </w:tcPr>
          <w:p>
            <w:pPr>
              <w:jc w:val="left"/>
            </w:pPr>
            <w:r/>
            <w:r>
              <w:rPr>
                <w:rFonts w:ascii="Arial" w:hAnsi="Arial" w:eastAsia="Arial"/>
                <w:b w:val="0"/>
                <w:i w:val="0"/>
                <w:color w:val="000000"/>
                <w:sz w:val="20"/>
              </w:rPr>
              <w:t>базова траєкторія мінус інерційна траєкторія</w:t>
            </w:r>
          </w:p>
        </w:tc>
        <w:tc>
          <w:tcPr>
            <w:tcW w:type="dxa" w:w="2081"/>
          </w:tcPr>
          <w:p>
            <w:pPr>
              <w:jc w:val="left"/>
            </w:pPr>
            <w:r/>
            <w:r>
              <w:rPr>
                <w:rFonts w:ascii="Arial" w:hAnsi="Arial" w:eastAsia="Arial"/>
                <w:b w:val="0"/>
                <w:i w:val="0"/>
                <w:color w:val="000000"/>
                <w:sz w:val="20"/>
              </w:rPr>
              <w:t>вхід до оцінки кумулятивних втрат ВВП</w:t>
            </w:r>
          </w:p>
        </w:tc>
        <w:tc>
          <w:tcPr>
            <w:tcW w:type="dxa" w:w="2081"/>
          </w:tcPr>
          <w:p>
            <w:pPr>
              <w:jc w:val="left"/>
            </w:pPr>
            <w:r/>
            <w:r>
              <w:rPr>
                <w:rFonts w:ascii="Arial" w:hAnsi="Arial" w:eastAsia="Arial"/>
                <w:b w:val="0"/>
                <w:i w:val="0"/>
                <w:color w:val="000000"/>
                <w:sz w:val="20"/>
              </w:rPr>
              <w:t>не можна змішувати з фізичними втратами секторів</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Саме цей розрив і є макроекономічним ядром V2. [1]</w:t>
      </w:r>
    </w:p>
    <w:p>
      <w:pPr>
        <w:pStyle w:val="Heading1"/>
      </w:pPr>
      <w:r>
        <w:rPr>
          <w:rFonts w:ascii="Arial" w:hAnsi="Arial" w:eastAsia="Arial"/>
          <w:b/>
          <w:i w:val="0"/>
          <w:color w:val="000000"/>
          <w:sz w:val="44"/>
        </w:rPr>
        <w:t>Кумулятивні втрати ВВП та їхня інтерпретація</w:t>
      </w:r>
    </w:p>
    <w:p>
      <w:pPr>
        <w:jc w:val="both"/>
      </w:pPr>
      <w:r>
        <w:rPr>
          <w:rFonts w:ascii="Arial" w:hAnsi="Arial" w:eastAsia="Arial"/>
          <w:b w:val="0"/>
          <w:i w:val="0"/>
          <w:color w:val="000000"/>
          <w:sz w:val="24"/>
        </w:rPr>
        <w:t>Кумулятивні втрати ВВП у цьому блоці - це не сума зруйнованих активів і не дублювання секторних втрат. [1] Це макроекономічна різниця між контрольним порівнянням і інерційною траєкторією на кожному році прогнозного горизонту.</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Σ</w:t>
            </w:r>
          </w:p>
        </w:tc>
        <w:tc>
          <w:tcPr>
            <w:tcW w:type="dxa" w:w="5102"/>
          </w:tcPr>
          <w:p>
            <w:pPr>
              <w:jc w:val="left"/>
            </w:pPr>
            <w:r/>
            <w:r>
              <w:rPr>
                <w:rFonts w:ascii="Arial" w:hAnsi="Arial" w:eastAsia="Arial"/>
                <w:b w:val="0"/>
                <w:i w:val="0"/>
                <w:color w:val="000000"/>
                <w:sz w:val="20"/>
              </w:rPr>
              <w:t>сума за роками прогнозного горизонту.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ВВП базової траєкторії</w:t>
            </w:r>
          </w:p>
        </w:tc>
        <w:tc>
          <w:tcPr>
            <w:tcW w:type="dxa" w:w="5102"/>
          </w:tcPr>
          <w:p>
            <w:pPr>
              <w:jc w:val="left"/>
            </w:pPr>
            <w:r/>
            <w:r>
              <w:rPr>
                <w:rFonts w:ascii="Arial" w:hAnsi="Arial" w:eastAsia="Arial"/>
                <w:b w:val="0"/>
                <w:i w:val="0"/>
                <w:color w:val="000000"/>
                <w:sz w:val="20"/>
              </w:rPr>
              <w:t>контрольне порівняння з довоєнною або базовою траєкторією.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ВВП інерційної траєкторії</w:t>
            </w:r>
          </w:p>
        </w:tc>
        <w:tc>
          <w:tcPr>
            <w:tcW w:type="dxa" w:w="5102"/>
          </w:tcPr>
          <w:p>
            <w:pPr>
              <w:jc w:val="left"/>
            </w:pPr>
            <w:r/>
            <w:r>
              <w:rPr>
                <w:rFonts w:ascii="Arial" w:hAnsi="Arial" w:eastAsia="Arial"/>
                <w:b w:val="0"/>
                <w:i w:val="0"/>
                <w:color w:val="000000"/>
                <w:sz w:val="20"/>
              </w:rPr>
              <w:t>сценарний результат за збереження ключових обмежень.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Різниця не є фізичною шкодою і не дублює втрати секторів, експорту чи податків.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MINFIN_Ukraine_GDP.xlsx; IMF; World Bank; EBRD; NBU</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Рік / період</w:t>
            </w:r>
          </w:p>
        </w:tc>
        <w:tc>
          <w:tcPr>
            <w:tcW w:type="dxa" w:w="1559"/>
          </w:tcPr>
          <w:p>
            <w:pPr>
              <w:jc w:val="left"/>
            </w:pPr>
            <w:r/>
            <w:r>
              <w:rPr>
                <w:rFonts w:ascii="Arial" w:hAnsi="Arial" w:eastAsia="Arial"/>
                <w:b/>
                <w:i w:val="0"/>
                <w:color w:val="000000"/>
                <w:sz w:val="20"/>
              </w:rPr>
              <w:t>Базова траєкторія</w:t>
            </w:r>
          </w:p>
        </w:tc>
        <w:tc>
          <w:tcPr>
            <w:tcW w:type="dxa" w:w="1559"/>
          </w:tcPr>
          <w:p>
            <w:pPr>
              <w:jc w:val="left"/>
            </w:pPr>
            <w:r/>
            <w:r>
              <w:rPr>
                <w:rFonts w:ascii="Arial" w:hAnsi="Arial" w:eastAsia="Arial"/>
                <w:b/>
                <w:i w:val="0"/>
                <w:color w:val="000000"/>
                <w:sz w:val="20"/>
              </w:rPr>
              <w:t>Інерційна траєкторія</w:t>
            </w:r>
          </w:p>
        </w:tc>
        <w:tc>
          <w:tcPr>
            <w:tcW w:type="dxa" w:w="1559"/>
          </w:tcPr>
          <w:p>
            <w:pPr>
              <w:jc w:val="left"/>
            </w:pPr>
            <w:r/>
            <w:r>
              <w:rPr>
                <w:rFonts w:ascii="Arial" w:hAnsi="Arial" w:eastAsia="Arial"/>
                <w:b/>
                <w:i w:val="0"/>
                <w:color w:val="000000"/>
                <w:sz w:val="20"/>
              </w:rPr>
              <w:t>Розрив</w:t>
            </w:r>
          </w:p>
        </w:tc>
        <w:tc>
          <w:tcPr>
            <w:tcW w:type="dxa" w:w="1559"/>
          </w:tcPr>
          <w:p>
            <w:pPr>
              <w:jc w:val="left"/>
            </w:pPr>
            <w:r/>
            <w:r>
              <w:rPr>
                <w:rFonts w:ascii="Arial" w:hAnsi="Arial" w:eastAsia="Arial"/>
                <w:b/>
                <w:i w:val="0"/>
                <w:color w:val="000000"/>
                <w:sz w:val="20"/>
              </w:rPr>
              <w:t>Одиниця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2026</w:t>
            </w:r>
          </w:p>
        </w:tc>
        <w:tc>
          <w:tcPr>
            <w:tcW w:type="dxa" w:w="1559"/>
          </w:tcPr>
          <w:p>
            <w:pPr>
              <w:jc w:val="left"/>
            </w:pPr>
            <w:r/>
            <w:r>
              <w:rPr>
                <w:rFonts w:ascii="Arial" w:hAnsi="Arial" w:eastAsia="Arial"/>
                <w:b w:val="0"/>
                <w:i w:val="0"/>
                <w:color w:val="000000"/>
                <w:sz w:val="20"/>
              </w:rPr>
              <w:t>114.8</w:t>
            </w:r>
          </w:p>
        </w:tc>
        <w:tc>
          <w:tcPr>
            <w:tcW w:type="dxa" w:w="1559"/>
          </w:tcPr>
          <w:p>
            <w:pPr>
              <w:jc w:val="left"/>
            </w:pPr>
            <w:r/>
            <w:r>
              <w:rPr>
                <w:rFonts w:ascii="Arial" w:hAnsi="Arial" w:eastAsia="Arial"/>
                <w:b w:val="0"/>
                <w:i w:val="0"/>
                <w:color w:val="000000"/>
                <w:sz w:val="20"/>
              </w:rPr>
              <w:t>80.2</w:t>
            </w:r>
          </w:p>
        </w:tc>
        <w:tc>
          <w:tcPr>
            <w:tcW w:type="dxa" w:w="1559"/>
          </w:tcPr>
          <w:p>
            <w:pPr>
              <w:jc w:val="left"/>
            </w:pPr>
            <w:r/>
            <w:r>
              <w:rPr>
                <w:rFonts w:ascii="Arial" w:hAnsi="Arial" w:eastAsia="Arial"/>
                <w:b w:val="0"/>
                <w:i w:val="0"/>
                <w:color w:val="000000"/>
                <w:sz w:val="20"/>
              </w:rPr>
              <w:t>34.6</w:t>
            </w:r>
          </w:p>
        </w:tc>
        <w:tc>
          <w:tcPr>
            <w:tcW w:type="dxa" w:w="1559"/>
          </w:tcPr>
          <w:p>
            <w:pPr>
              <w:jc w:val="left"/>
            </w:pPr>
            <w:r/>
            <w:r>
              <w:rPr>
                <w:rFonts w:ascii="Arial" w:hAnsi="Arial" w:eastAsia="Arial"/>
                <w:b w:val="0"/>
                <w:i w:val="0"/>
                <w:color w:val="000000"/>
                <w:sz w:val="20"/>
              </w:rPr>
              <w:t>індексні пункти до бази 2021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2027</w:t>
            </w:r>
          </w:p>
        </w:tc>
        <w:tc>
          <w:tcPr>
            <w:tcW w:type="dxa" w:w="1559"/>
          </w:tcPr>
          <w:p>
            <w:pPr>
              <w:jc w:val="left"/>
            </w:pPr>
            <w:r/>
            <w:r>
              <w:rPr>
                <w:rFonts w:ascii="Arial" w:hAnsi="Arial" w:eastAsia="Arial"/>
                <w:b w:val="0"/>
                <w:i w:val="0"/>
                <w:color w:val="000000"/>
                <w:sz w:val="20"/>
              </w:rPr>
              <w:t>118.0</w:t>
            </w:r>
          </w:p>
        </w:tc>
        <w:tc>
          <w:tcPr>
            <w:tcW w:type="dxa" w:w="1559"/>
          </w:tcPr>
          <w:p>
            <w:pPr>
              <w:jc w:val="left"/>
            </w:pPr>
            <w:r/>
            <w:r>
              <w:rPr>
                <w:rFonts w:ascii="Arial" w:hAnsi="Arial" w:eastAsia="Arial"/>
                <w:b w:val="0"/>
                <w:i w:val="0"/>
                <w:color w:val="000000"/>
                <w:sz w:val="20"/>
              </w:rPr>
              <w:t>81.8</w:t>
            </w:r>
          </w:p>
        </w:tc>
        <w:tc>
          <w:tcPr>
            <w:tcW w:type="dxa" w:w="1559"/>
          </w:tcPr>
          <w:p>
            <w:pPr>
              <w:jc w:val="left"/>
            </w:pPr>
            <w:r/>
            <w:r>
              <w:rPr>
                <w:rFonts w:ascii="Arial" w:hAnsi="Arial" w:eastAsia="Arial"/>
                <w:b w:val="0"/>
                <w:i w:val="0"/>
                <w:color w:val="000000"/>
                <w:sz w:val="20"/>
              </w:rPr>
              <w:t>36.2</w:t>
            </w:r>
          </w:p>
        </w:tc>
        <w:tc>
          <w:tcPr>
            <w:tcW w:type="dxa" w:w="1559"/>
          </w:tcPr>
          <w:p>
            <w:pPr>
              <w:jc w:val="left"/>
            </w:pPr>
            <w:r/>
            <w:r>
              <w:rPr>
                <w:rFonts w:ascii="Arial" w:hAnsi="Arial" w:eastAsia="Arial"/>
                <w:b w:val="0"/>
                <w:i w:val="0"/>
                <w:color w:val="000000"/>
                <w:sz w:val="20"/>
              </w:rPr>
              <w:t>індексні пункти до бази 2021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2028</w:t>
            </w:r>
          </w:p>
        </w:tc>
        <w:tc>
          <w:tcPr>
            <w:tcW w:type="dxa" w:w="1559"/>
          </w:tcPr>
          <w:p>
            <w:pPr>
              <w:jc w:val="left"/>
            </w:pPr>
            <w:r/>
            <w:r>
              <w:rPr>
                <w:rFonts w:ascii="Arial" w:hAnsi="Arial" w:eastAsia="Arial"/>
                <w:b w:val="0"/>
                <w:i w:val="0"/>
                <w:color w:val="000000"/>
                <w:sz w:val="20"/>
              </w:rPr>
              <w:t>121.3</w:t>
            </w:r>
          </w:p>
        </w:tc>
        <w:tc>
          <w:tcPr>
            <w:tcW w:type="dxa" w:w="1559"/>
          </w:tcPr>
          <w:p>
            <w:pPr>
              <w:jc w:val="left"/>
            </w:pPr>
            <w:r/>
            <w:r>
              <w:rPr>
                <w:rFonts w:ascii="Arial" w:hAnsi="Arial" w:eastAsia="Arial"/>
                <w:b w:val="0"/>
                <w:i w:val="0"/>
                <w:color w:val="000000"/>
                <w:sz w:val="20"/>
              </w:rPr>
              <w:t>83.6</w:t>
            </w:r>
          </w:p>
        </w:tc>
        <w:tc>
          <w:tcPr>
            <w:tcW w:type="dxa" w:w="1559"/>
          </w:tcPr>
          <w:p>
            <w:pPr>
              <w:jc w:val="left"/>
            </w:pPr>
            <w:r/>
            <w:r>
              <w:rPr>
                <w:rFonts w:ascii="Arial" w:hAnsi="Arial" w:eastAsia="Arial"/>
                <w:b w:val="0"/>
                <w:i w:val="0"/>
                <w:color w:val="000000"/>
                <w:sz w:val="20"/>
              </w:rPr>
              <w:t>37.7</w:t>
            </w:r>
          </w:p>
        </w:tc>
        <w:tc>
          <w:tcPr>
            <w:tcW w:type="dxa" w:w="1559"/>
          </w:tcPr>
          <w:p>
            <w:pPr>
              <w:jc w:val="left"/>
            </w:pPr>
            <w:r/>
            <w:r>
              <w:rPr>
                <w:rFonts w:ascii="Arial" w:hAnsi="Arial" w:eastAsia="Arial"/>
                <w:b w:val="0"/>
                <w:i w:val="0"/>
                <w:color w:val="000000"/>
                <w:sz w:val="20"/>
              </w:rPr>
              <w:t>індексні пункти до бази 2021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2030</w:t>
            </w:r>
          </w:p>
        </w:tc>
        <w:tc>
          <w:tcPr>
            <w:tcW w:type="dxa" w:w="1559"/>
          </w:tcPr>
          <w:p>
            <w:pPr>
              <w:jc w:val="left"/>
            </w:pPr>
            <w:r/>
            <w:r>
              <w:rPr>
                <w:rFonts w:ascii="Arial" w:hAnsi="Arial" w:eastAsia="Arial"/>
                <w:b w:val="0"/>
                <w:i w:val="0"/>
                <w:color w:val="000000"/>
                <w:sz w:val="20"/>
              </w:rPr>
              <w:t>128.2</w:t>
            </w:r>
          </w:p>
        </w:tc>
        <w:tc>
          <w:tcPr>
            <w:tcW w:type="dxa" w:w="1559"/>
          </w:tcPr>
          <w:p>
            <w:pPr>
              <w:jc w:val="left"/>
            </w:pPr>
            <w:r/>
            <w:r>
              <w:rPr>
                <w:rFonts w:ascii="Arial" w:hAnsi="Arial" w:eastAsia="Arial"/>
                <w:b w:val="0"/>
                <w:i w:val="0"/>
                <w:color w:val="000000"/>
                <w:sz w:val="20"/>
              </w:rPr>
              <w:t>87.5</w:t>
            </w:r>
          </w:p>
        </w:tc>
        <w:tc>
          <w:tcPr>
            <w:tcW w:type="dxa" w:w="1559"/>
          </w:tcPr>
          <w:p>
            <w:pPr>
              <w:jc w:val="left"/>
            </w:pPr>
            <w:r/>
            <w:r>
              <w:rPr>
                <w:rFonts w:ascii="Arial" w:hAnsi="Arial" w:eastAsia="Arial"/>
                <w:b w:val="0"/>
                <w:i w:val="0"/>
                <w:color w:val="000000"/>
                <w:sz w:val="20"/>
              </w:rPr>
              <w:t>40.7</w:t>
            </w:r>
          </w:p>
        </w:tc>
        <w:tc>
          <w:tcPr>
            <w:tcW w:type="dxa" w:w="1559"/>
          </w:tcPr>
          <w:p>
            <w:pPr>
              <w:jc w:val="left"/>
            </w:pPr>
            <w:r/>
            <w:r>
              <w:rPr>
                <w:rFonts w:ascii="Arial" w:hAnsi="Arial" w:eastAsia="Arial"/>
                <w:b w:val="0"/>
                <w:i w:val="0"/>
                <w:color w:val="000000"/>
                <w:sz w:val="20"/>
              </w:rPr>
              <w:t>індексні пункти до бази 2021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2035</w:t>
            </w:r>
          </w:p>
        </w:tc>
        <w:tc>
          <w:tcPr>
            <w:tcW w:type="dxa" w:w="1559"/>
          </w:tcPr>
          <w:p>
            <w:pPr>
              <w:jc w:val="left"/>
            </w:pPr>
            <w:r/>
            <w:r>
              <w:rPr>
                <w:rFonts w:ascii="Arial" w:hAnsi="Arial" w:eastAsia="Arial"/>
                <w:b w:val="0"/>
                <w:i w:val="0"/>
                <w:color w:val="000000"/>
                <w:sz w:val="20"/>
              </w:rPr>
              <w:t>147.2</w:t>
            </w:r>
          </w:p>
        </w:tc>
        <w:tc>
          <w:tcPr>
            <w:tcW w:type="dxa" w:w="1559"/>
          </w:tcPr>
          <w:p>
            <w:pPr>
              <w:jc w:val="left"/>
            </w:pPr>
            <w:r/>
            <w:r>
              <w:rPr>
                <w:rFonts w:ascii="Arial" w:hAnsi="Arial" w:eastAsia="Arial"/>
                <w:b w:val="0"/>
                <w:i w:val="0"/>
                <w:color w:val="000000"/>
                <w:sz w:val="20"/>
              </w:rPr>
              <w:t>96.8</w:t>
            </w:r>
          </w:p>
        </w:tc>
        <w:tc>
          <w:tcPr>
            <w:tcW w:type="dxa" w:w="1559"/>
          </w:tcPr>
          <w:p>
            <w:pPr>
              <w:jc w:val="left"/>
            </w:pPr>
            <w:r/>
            <w:r>
              <w:rPr>
                <w:rFonts w:ascii="Arial" w:hAnsi="Arial" w:eastAsia="Arial"/>
                <w:b w:val="0"/>
                <w:i w:val="0"/>
                <w:color w:val="000000"/>
                <w:sz w:val="20"/>
              </w:rPr>
              <w:t>50.4</w:t>
            </w:r>
          </w:p>
        </w:tc>
        <w:tc>
          <w:tcPr>
            <w:tcW w:type="dxa" w:w="1559"/>
          </w:tcPr>
          <w:p>
            <w:pPr>
              <w:jc w:val="left"/>
            </w:pPr>
            <w:r/>
            <w:r>
              <w:rPr>
                <w:rFonts w:ascii="Arial" w:hAnsi="Arial" w:eastAsia="Arial"/>
                <w:b w:val="0"/>
                <w:i w:val="0"/>
                <w:color w:val="000000"/>
                <w:sz w:val="20"/>
              </w:rPr>
              <w:t>індексні пункти до бази 2021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2026-2035</w:t>
            </w:r>
          </w:p>
        </w:tc>
        <w:tc>
          <w:tcPr>
            <w:tcW w:type="dxa" w:w="1559"/>
          </w:tcPr>
          <w:p>
            <w:pPr>
              <w:jc w:val="left"/>
            </w:pPr>
            <w:r/>
            <w:r>
              <w:rPr>
                <w:rFonts w:ascii="Arial" w:hAnsi="Arial" w:eastAsia="Arial"/>
                <w:b w:val="0"/>
                <w:i w:val="0"/>
                <w:color w:val="000000"/>
                <w:sz w:val="20"/>
              </w:rPr>
              <w:t>-</w:t>
            </w:r>
          </w:p>
        </w:tc>
        <w:tc>
          <w:tcPr>
            <w:tcW w:type="dxa" w:w="1559"/>
          </w:tcPr>
          <w:p>
            <w:pPr>
              <w:jc w:val="left"/>
            </w:pPr>
            <w:r/>
            <w:r>
              <w:rPr>
                <w:rFonts w:ascii="Arial" w:hAnsi="Arial" w:eastAsia="Arial"/>
                <w:b w:val="0"/>
                <w:i w:val="0"/>
                <w:color w:val="000000"/>
                <w:sz w:val="20"/>
              </w:rPr>
              <w:t>-</w:t>
            </w:r>
          </w:p>
        </w:tc>
        <w:tc>
          <w:tcPr>
            <w:tcW w:type="dxa" w:w="1559"/>
          </w:tcPr>
          <w:p>
            <w:pPr>
              <w:jc w:val="left"/>
            </w:pPr>
            <w:r/>
            <w:r>
              <w:rPr>
                <w:rFonts w:ascii="Arial" w:hAnsi="Arial" w:eastAsia="Arial"/>
                <w:b w:val="0"/>
                <w:i w:val="0"/>
                <w:color w:val="000000"/>
                <w:sz w:val="20"/>
              </w:rPr>
              <w:t>420.2</w:t>
            </w:r>
          </w:p>
        </w:tc>
        <w:tc>
          <w:tcPr>
            <w:tcW w:type="dxa" w:w="1559"/>
          </w:tcPr>
          <w:p>
            <w:pPr>
              <w:jc w:val="left"/>
            </w:pPr>
            <w:r/>
            <w:r>
              <w:rPr>
                <w:rFonts w:ascii="Arial" w:hAnsi="Arial" w:eastAsia="Arial"/>
                <w:b w:val="0"/>
                <w:i w:val="0"/>
                <w:color w:val="000000"/>
                <w:sz w:val="20"/>
              </w:rPr>
              <w:t>сума річних індексних розривів</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Індексне подання спеціально обране як публічно безпечніше для цього документа. [1] Воно не створює видимості точності там, де довгостроковий прогноз залежить від безпеки, курсу, інфляції, зовнішнього фінансування й структури відбудови. Грошова оцінка може бути розрахована пізніше, але вона повинна мати окрему формулу дефлятора, валютний режим, припущення про ціни та правила зіставності.</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Показати річний і накопичений розрив між базовою та інерційною траєкторіями.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індикатори</w:t>
            </w:r>
          </w:p>
        </w:tc>
        <w:tc>
          <w:tcPr>
            <w:tcW w:type="dxa" w:w="5102"/>
          </w:tcPr>
          <w:p>
            <w:pPr>
              <w:jc w:val="left"/>
            </w:pPr>
            <w:r/>
            <w:r>
              <w:rPr>
                <w:rFonts w:ascii="Arial" w:hAnsi="Arial" w:eastAsia="Arial"/>
                <w:b w:val="0"/>
                <w:i w:val="0"/>
                <w:color w:val="000000"/>
                <w:sz w:val="20"/>
              </w:rPr>
              <w:t>Індекс ВВП, базова траєкторія, інерційна траєкторія, період підсумовування.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w:t>
            </w:r>
          </w:p>
        </w:tc>
        <w:tc>
          <w:tcPr>
            <w:tcW w:type="dxa" w:w="5102"/>
          </w:tcPr>
          <w:p>
            <w:pPr>
              <w:jc w:val="left"/>
            </w:pPr>
            <w:r/>
            <w:r>
              <w:rPr>
                <w:rFonts w:ascii="Arial" w:hAnsi="Arial" w:eastAsia="Arial"/>
                <w:b w:val="0"/>
                <w:i w:val="0"/>
                <w:color w:val="000000"/>
                <w:sz w:val="20"/>
              </w:rPr>
              <w:t>Для кожного року береться різниця між базою та інерцією; позитивні річні розриви підсумовуються.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Історична база спирається на макроряди; прогнозні роки мають припущення і прогнозні якорі.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Це не оцінка фізичних збитків і не дублювання секторного GAP-аналізу.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Показник допомагає бачити макроекономічну ціну інерції.</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Розриви зіставності та обмеження даних</w:t>
      </w:r>
    </w:p>
    <w:p>
      <w:pPr>
        <w:jc w:val="both"/>
      </w:pPr>
      <w:r>
        <w:rPr>
          <w:rFonts w:ascii="Arial" w:hAnsi="Arial" w:eastAsia="Arial"/>
          <w:b w:val="0"/>
          <w:i w:val="0"/>
          <w:color w:val="000000"/>
          <w:sz w:val="24"/>
        </w:rPr>
        <w:t>Макропрогноз після 2022 року має читатися з відкритими застереженнями. [1] Війна змінює територіальну базу, структуру населення, доступність підприємств, цінову динаміку, курс, дефіцит бюджету, імпорт енергії, експортні маршрути та структуру державного попиту. Навпаки, він виносить їх у методичну рамку, щоб читач бачив межі точності.</w:t>
      </w:r>
    </w:p>
    <w:p>
      <w:pPr>
        <w:jc w:val="both"/>
      </w:pPr>
      <w:r>
        <w:rPr>
          <w:rFonts w:ascii="Arial" w:hAnsi="Arial" w:eastAsia="Arial"/>
          <w:b w:val="0"/>
          <w:i w:val="0"/>
          <w:color w:val="000000"/>
          <w:sz w:val="24"/>
        </w:rPr>
        <w:t>Проблема населення особливо важлива, бо оцінки населення на підконтрольній території відрізняються від довоєнних офіційних рядів, а це впливає на ВВП на душу, трудову пропозицію і потенційний випуск. [1]</w:t>
      </w:r>
    </w:p>
    <w:p>
      <w:pPr>
        <w:jc w:val="both"/>
      </w:pPr>
      <w:r>
        <w:rPr>
          <w:rFonts w:ascii="Arial" w:hAnsi="Arial" w:eastAsia="Arial"/>
          <w:b w:val="0"/>
          <w:i w:val="0"/>
          <w:color w:val="000000"/>
          <w:sz w:val="24"/>
        </w:rPr>
        <w:t>Порівнянність ринку праці також обмежена, бо рядки ринку праці після 2022 року мають іншу якість і частково спираються на адміністративні джерела, що вимагає обережності при порівнянні зайнятості та безробіття з довоєнною базою. [1]</w:t>
      </w:r>
    </w:p>
    <w:p>
      <w:pPr>
        <w:jc w:val="both"/>
      </w:pPr>
      <w:r>
        <w:rPr>
          <w:rFonts w:ascii="Arial" w:hAnsi="Arial" w:eastAsia="Arial"/>
          <w:b w:val="0"/>
          <w:i w:val="0"/>
          <w:color w:val="000000"/>
          <w:sz w:val="24"/>
        </w:rPr>
        <w:t>Інфляційний шар контролюється через ряд індексу споживчих цін, але номінальні зміни ВВП у гривні не можна трактувати як реальне зростання без дефлятора і зіставної бази. [1]</w:t>
      </w:r>
    </w:p>
    <w:p>
      <w:pPr>
        <w:jc w:val="both"/>
      </w:pPr>
      <w:r>
        <w:rPr>
          <w:rFonts w:ascii="Arial" w:hAnsi="Arial" w:eastAsia="Arial"/>
          <w:b w:val="0"/>
          <w:i w:val="0"/>
          <w:color w:val="000000"/>
          <w:sz w:val="24"/>
        </w:rPr>
        <w:t>Зовнішній сектор має окремий розрив, бо поточний рахунок і платіжний баланс після 2022 року відображають воєнні імпортні потреби, допомогу, логістику та валютні потоки, а тому NX у ВВП не може читатися без ширшого зовнішнього контексту. [1]</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Ділянка даних</w:t>
            </w:r>
          </w:p>
        </w:tc>
        <w:tc>
          <w:tcPr>
            <w:tcW w:type="dxa" w:w="2081"/>
          </w:tcPr>
          <w:p>
            <w:pPr>
              <w:jc w:val="left"/>
            </w:pPr>
            <w:r/>
            <w:r>
              <w:rPr>
                <w:rFonts w:ascii="Arial" w:hAnsi="Arial" w:eastAsia="Arial"/>
                <w:b/>
                <w:i w:val="0"/>
                <w:color w:val="000000"/>
                <w:sz w:val="20"/>
              </w:rPr>
              <w:t>Розрив</w:t>
            </w:r>
          </w:p>
        </w:tc>
        <w:tc>
          <w:tcPr>
            <w:tcW w:type="dxa" w:w="2081"/>
          </w:tcPr>
          <w:p>
            <w:pPr>
              <w:jc w:val="left"/>
            </w:pPr>
            <w:r/>
            <w:r>
              <w:rPr>
                <w:rFonts w:ascii="Arial" w:hAnsi="Arial" w:eastAsia="Arial"/>
                <w:b/>
                <w:i w:val="0"/>
                <w:color w:val="000000"/>
                <w:sz w:val="20"/>
              </w:rPr>
              <w:t>Як V2 його контролює</w:t>
            </w:r>
          </w:p>
        </w:tc>
        <w:tc>
          <w:tcPr>
            <w:tcW w:type="dxa" w:w="2081"/>
          </w:tcPr>
          <w:p>
            <w:pPr>
              <w:jc w:val="left"/>
            </w:pPr>
            <w:r/>
            <w:r>
              <w:rPr>
                <w:rFonts w:ascii="Arial" w:hAnsi="Arial" w:eastAsia="Arial"/>
                <w:b/>
                <w:i w:val="0"/>
                <w:color w:val="000000"/>
                <w:sz w:val="20"/>
              </w:rPr>
              <w:t>Наслідок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ВВП у гривні</w:t>
            </w:r>
          </w:p>
        </w:tc>
        <w:tc>
          <w:tcPr>
            <w:tcW w:type="dxa" w:w="2081"/>
          </w:tcPr>
          <w:p>
            <w:pPr>
              <w:jc w:val="left"/>
            </w:pPr>
            <w:r/>
            <w:r>
              <w:rPr>
                <w:rFonts w:ascii="Arial" w:hAnsi="Arial" w:eastAsia="Arial"/>
                <w:b w:val="0"/>
                <w:i w:val="0"/>
                <w:color w:val="000000"/>
                <w:sz w:val="20"/>
              </w:rPr>
              <w:t>інфляція і дефлятори змінюють номінальний масштаб</w:t>
            </w:r>
          </w:p>
        </w:tc>
        <w:tc>
          <w:tcPr>
            <w:tcW w:type="dxa" w:w="2081"/>
          </w:tcPr>
          <w:p>
            <w:pPr>
              <w:jc w:val="left"/>
            </w:pPr>
            <w:r/>
            <w:r>
              <w:rPr>
                <w:rFonts w:ascii="Arial" w:hAnsi="Arial" w:eastAsia="Arial"/>
                <w:b w:val="0"/>
                <w:i w:val="0"/>
                <w:color w:val="000000"/>
                <w:sz w:val="20"/>
              </w:rPr>
              <w:t>окремо показує номінальний та індексний шар</w:t>
            </w:r>
          </w:p>
        </w:tc>
        <w:tc>
          <w:tcPr>
            <w:tcW w:type="dxa" w:w="2081"/>
          </w:tcPr>
          <w:p>
            <w:pPr>
              <w:jc w:val="left"/>
            </w:pPr>
            <w:r/>
            <w:r>
              <w:rPr>
                <w:rFonts w:ascii="Arial" w:hAnsi="Arial" w:eastAsia="Arial"/>
                <w:b w:val="0"/>
                <w:i w:val="0"/>
                <w:color w:val="000000"/>
                <w:sz w:val="20"/>
              </w:rPr>
              <w:t>не ототожнювати гривневе зростання з реальним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Населення</w:t>
            </w:r>
          </w:p>
        </w:tc>
        <w:tc>
          <w:tcPr>
            <w:tcW w:type="dxa" w:w="2081"/>
          </w:tcPr>
          <w:p>
            <w:pPr>
              <w:jc w:val="left"/>
            </w:pPr>
            <w:r/>
            <w:r>
              <w:rPr>
                <w:rFonts w:ascii="Arial" w:hAnsi="Arial" w:eastAsia="Arial"/>
                <w:b w:val="0"/>
                <w:i w:val="0"/>
                <w:color w:val="000000"/>
                <w:sz w:val="20"/>
              </w:rPr>
              <w:t>міграція, окупація, зміна контрольованої території</w:t>
            </w:r>
          </w:p>
        </w:tc>
        <w:tc>
          <w:tcPr>
            <w:tcW w:type="dxa" w:w="2081"/>
          </w:tcPr>
          <w:p>
            <w:pPr>
              <w:jc w:val="left"/>
            </w:pPr>
            <w:r/>
            <w:r>
              <w:rPr>
                <w:rFonts w:ascii="Arial" w:hAnsi="Arial" w:eastAsia="Arial"/>
                <w:b w:val="0"/>
                <w:i w:val="0"/>
                <w:color w:val="000000"/>
                <w:sz w:val="20"/>
              </w:rPr>
              <w:t>використовує застереження до ВВП на душу і праці</w:t>
            </w:r>
          </w:p>
        </w:tc>
        <w:tc>
          <w:tcPr>
            <w:tcW w:type="dxa" w:w="2081"/>
          </w:tcPr>
          <w:p>
            <w:pPr>
              <w:jc w:val="left"/>
            </w:pPr>
            <w:r/>
            <w:r>
              <w:rPr>
                <w:rFonts w:ascii="Arial" w:hAnsi="Arial" w:eastAsia="Arial"/>
                <w:b w:val="0"/>
                <w:i w:val="0"/>
                <w:color w:val="000000"/>
                <w:sz w:val="20"/>
              </w:rPr>
              <w:t>ВВП на душу після 2022 року потребує caveat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Праця</w:t>
            </w:r>
          </w:p>
        </w:tc>
        <w:tc>
          <w:tcPr>
            <w:tcW w:type="dxa" w:w="2081"/>
          </w:tcPr>
          <w:p>
            <w:pPr>
              <w:jc w:val="left"/>
            </w:pPr>
            <w:r/>
            <w:r>
              <w:rPr>
                <w:rFonts w:ascii="Arial" w:hAnsi="Arial" w:eastAsia="Arial"/>
                <w:b w:val="0"/>
                <w:i w:val="0"/>
                <w:color w:val="000000"/>
                <w:sz w:val="20"/>
              </w:rPr>
              <w:t>відсутність повної порівнянності з МОП-рядами</w:t>
            </w:r>
          </w:p>
        </w:tc>
        <w:tc>
          <w:tcPr>
            <w:tcW w:type="dxa" w:w="2081"/>
          </w:tcPr>
          <w:p>
            <w:pPr>
              <w:jc w:val="left"/>
            </w:pPr>
            <w:r/>
            <w:r>
              <w:rPr>
                <w:rFonts w:ascii="Arial" w:hAnsi="Arial" w:eastAsia="Arial"/>
                <w:b w:val="0"/>
                <w:i w:val="0"/>
                <w:color w:val="000000"/>
                <w:sz w:val="20"/>
              </w:rPr>
              <w:t>позначає ринок праці як обмеження потенційного випуску</w:t>
            </w:r>
          </w:p>
        </w:tc>
        <w:tc>
          <w:tcPr>
            <w:tcW w:type="dxa" w:w="2081"/>
          </w:tcPr>
          <w:p>
            <w:pPr>
              <w:jc w:val="left"/>
            </w:pPr>
            <w:r/>
            <w:r>
              <w:rPr>
                <w:rFonts w:ascii="Arial" w:hAnsi="Arial" w:eastAsia="Arial"/>
                <w:b w:val="0"/>
                <w:i w:val="0"/>
                <w:color w:val="000000"/>
                <w:sz w:val="20"/>
              </w:rPr>
              <w:t>зайнятість не переноситься механічно у ВВП</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Енергетика</w:t>
            </w:r>
          </w:p>
        </w:tc>
        <w:tc>
          <w:tcPr>
            <w:tcW w:type="dxa" w:w="2081"/>
          </w:tcPr>
          <w:p>
            <w:pPr>
              <w:jc w:val="left"/>
            </w:pPr>
            <w:r/>
            <w:r>
              <w:rPr>
                <w:rFonts w:ascii="Arial" w:hAnsi="Arial" w:eastAsia="Arial"/>
                <w:b w:val="0"/>
                <w:i w:val="0"/>
                <w:color w:val="000000"/>
                <w:sz w:val="20"/>
              </w:rPr>
              <w:t>атаки, імпорт, дефіцит і ціновий тиск</w:t>
            </w:r>
          </w:p>
        </w:tc>
        <w:tc>
          <w:tcPr>
            <w:tcW w:type="dxa" w:w="2081"/>
          </w:tcPr>
          <w:p>
            <w:pPr>
              <w:jc w:val="left"/>
            </w:pPr>
            <w:r/>
            <w:r>
              <w:rPr>
                <w:rFonts w:ascii="Arial" w:hAnsi="Arial" w:eastAsia="Arial"/>
                <w:b w:val="0"/>
                <w:i w:val="0"/>
                <w:color w:val="000000"/>
                <w:sz w:val="20"/>
              </w:rPr>
              <w:t>трактує енергію як обмеження виробництва та інвестицій</w:t>
            </w:r>
          </w:p>
        </w:tc>
        <w:tc>
          <w:tcPr>
            <w:tcW w:type="dxa" w:w="2081"/>
          </w:tcPr>
          <w:p>
            <w:pPr>
              <w:jc w:val="left"/>
            </w:pPr>
            <w:r/>
            <w:r>
              <w:rPr>
                <w:rFonts w:ascii="Arial" w:hAnsi="Arial" w:eastAsia="Arial"/>
                <w:b w:val="0"/>
                <w:i w:val="0"/>
                <w:color w:val="000000"/>
                <w:sz w:val="20"/>
              </w:rPr>
              <w:t>темп ВВП залежить від доступності енергії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Зовнішній сектор</w:t>
            </w:r>
          </w:p>
        </w:tc>
        <w:tc>
          <w:tcPr>
            <w:tcW w:type="dxa" w:w="2081"/>
          </w:tcPr>
          <w:p>
            <w:pPr>
              <w:jc w:val="left"/>
            </w:pPr>
            <w:r/>
            <w:r>
              <w:rPr>
                <w:rFonts w:ascii="Arial" w:hAnsi="Arial" w:eastAsia="Arial"/>
                <w:b w:val="0"/>
                <w:i w:val="0"/>
                <w:color w:val="000000"/>
                <w:sz w:val="20"/>
              </w:rPr>
              <w:t>імпорт оборони, енергії, обладнання і допомога</w:t>
            </w:r>
          </w:p>
        </w:tc>
        <w:tc>
          <w:tcPr>
            <w:tcW w:type="dxa" w:w="2081"/>
          </w:tcPr>
          <w:p>
            <w:pPr>
              <w:jc w:val="left"/>
            </w:pPr>
            <w:r/>
            <w:r>
              <w:rPr>
                <w:rFonts w:ascii="Arial" w:hAnsi="Arial" w:eastAsia="Arial"/>
                <w:b w:val="0"/>
                <w:i w:val="0"/>
                <w:color w:val="000000"/>
                <w:sz w:val="20"/>
              </w:rPr>
              <w:t>NX читається як компонент ВВП, а не повний платіжний баланс</w:t>
            </w:r>
          </w:p>
        </w:tc>
        <w:tc>
          <w:tcPr>
            <w:tcW w:type="dxa" w:w="2081"/>
          </w:tcPr>
          <w:p>
            <w:pPr>
              <w:jc w:val="left"/>
            </w:pPr>
            <w:r/>
            <w:r>
              <w:rPr>
                <w:rFonts w:ascii="Arial" w:hAnsi="Arial" w:eastAsia="Arial"/>
                <w:b w:val="0"/>
                <w:i w:val="0"/>
                <w:color w:val="000000"/>
                <w:sz w:val="20"/>
              </w:rPr>
              <w:t>V4 потрібен для повної зовнішньої логіки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Відбудова</w:t>
            </w:r>
          </w:p>
        </w:tc>
        <w:tc>
          <w:tcPr>
            <w:tcW w:type="dxa" w:w="2081"/>
          </w:tcPr>
          <w:p>
            <w:pPr>
              <w:jc w:val="left"/>
            </w:pPr>
            <w:r/>
            <w:r>
              <w:rPr>
                <w:rFonts w:ascii="Arial" w:hAnsi="Arial" w:eastAsia="Arial"/>
                <w:b w:val="0"/>
                <w:i w:val="0"/>
                <w:color w:val="000000"/>
                <w:sz w:val="20"/>
              </w:rPr>
              <w:t>потреби не дорівнюють виконаним проєктам</w:t>
            </w:r>
          </w:p>
        </w:tc>
        <w:tc>
          <w:tcPr>
            <w:tcW w:type="dxa" w:w="2081"/>
          </w:tcPr>
          <w:p>
            <w:pPr>
              <w:jc w:val="left"/>
            </w:pPr>
            <w:r/>
            <w:r>
              <w:rPr>
                <w:rFonts w:ascii="Arial" w:hAnsi="Arial" w:eastAsia="Arial"/>
                <w:b w:val="0"/>
                <w:i w:val="0"/>
                <w:color w:val="000000"/>
                <w:sz w:val="20"/>
              </w:rPr>
              <w:t>інвестиційний компонент залежить від фактичного виконання</w:t>
            </w:r>
          </w:p>
        </w:tc>
        <w:tc>
          <w:tcPr>
            <w:tcW w:type="dxa" w:w="2081"/>
          </w:tcPr>
          <w:p>
            <w:pPr>
              <w:jc w:val="left"/>
            </w:pPr>
            <w:r/>
            <w:r>
              <w:rPr>
                <w:rFonts w:ascii="Arial" w:hAnsi="Arial" w:eastAsia="Arial"/>
                <w:b w:val="0"/>
                <w:i w:val="0"/>
                <w:color w:val="000000"/>
                <w:sz w:val="20"/>
              </w:rPr>
              <w:t>масштаб RDNA не додається напряму до ВВП</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 xml:space="preserve">Що означають розриви зіставності після 2014 і </w:t>
      </w:r>
      <w:hyperlink r:id="rId12">
        <w:r>
          <w:rPr>
            <w:rFonts w:ascii="Arial" w:hAnsi="Arial" w:eastAsia="Arial"/>
            <w:sz w:val="24"/>
            <w:color w:val="0000EE"/>
            <w:u w:val="single"/>
          </w:rPr>
          <w:t>2022 років</w:t>
        </w:r>
      </w:hyperlink>
      <w:r>
        <w:rPr>
          <w:rFonts w:ascii="Arial" w:hAnsi="Arial" w:eastAsia="Arial"/>
          <w:b w:val="0"/>
          <w:i w:val="0"/>
          <w:color w:val="000000"/>
          <w:sz w:val="24"/>
        </w:rPr>
        <w:t>. [1]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Поле</w:t>
            </w:r>
          </w:p>
        </w:tc>
        <w:tc>
          <w:tcPr>
            <w:tcW w:type="dxa" w:w="5102"/>
          </w:tcPr>
          <w:p>
            <w:pPr>
              <w:jc w:val="left"/>
            </w:pPr>
            <w:r/>
            <w:r>
              <w:rPr>
                <w:rFonts w:ascii="Arial" w:hAnsi="Arial" w:eastAsia="Arial"/>
                <w:b/>
                <w:i w:val="0"/>
                <w:color w:val="000000"/>
                <w:sz w:val="20"/>
              </w:rPr>
              <w:t>Публічне 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Захистити прогноз від механічного порівняння несумісних рядків.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індикатори</w:t>
            </w:r>
          </w:p>
        </w:tc>
        <w:tc>
          <w:tcPr>
            <w:tcW w:type="dxa" w:w="5102"/>
          </w:tcPr>
          <w:p>
            <w:pPr>
              <w:jc w:val="left"/>
            </w:pPr>
            <w:r/>
            <w:r>
              <w:rPr>
                <w:rFonts w:ascii="Arial" w:hAnsi="Arial" w:eastAsia="Arial"/>
                <w:b w:val="0"/>
                <w:i w:val="0"/>
                <w:color w:val="000000"/>
                <w:sz w:val="20"/>
              </w:rPr>
              <w:t>Територіальна база, населення, інфляція, курс, ринок праці, енергетика, зовнішній сектор.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w:t>
            </w:r>
          </w:p>
        </w:tc>
        <w:tc>
          <w:tcPr>
            <w:tcW w:type="dxa" w:w="5102"/>
          </w:tcPr>
          <w:p>
            <w:pPr>
              <w:jc w:val="left"/>
            </w:pPr>
            <w:r/>
            <w:r>
              <w:rPr>
                <w:rFonts w:ascii="Arial" w:hAnsi="Arial" w:eastAsia="Arial"/>
                <w:b w:val="0"/>
                <w:i w:val="0"/>
                <w:color w:val="000000"/>
                <w:sz w:val="20"/>
              </w:rPr>
              <w:t>Кожний ряд після великого шоку читається з окремим caveat, якщо змінилася методика, територія або економічна структура.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Caveat повинен бути прив’язаний до джерела або до явно поясненої методичної причини.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Гладка лінія графіка не означає гладкої економічної реальності.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Відкрита caveat-рамка підвищує довіру до прогнозу.</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Аналітична інтерпретація прогнозного коридору</w:t>
      </w:r>
    </w:p>
    <w:p>
      <w:pPr>
        <w:pStyle w:val="Heading1"/>
      </w:pPr>
      <w:r>
        <w:rPr>
          <w:rFonts w:ascii="Arial" w:hAnsi="Arial" w:eastAsia="Arial"/>
          <w:b/>
          <w:i w:val="0"/>
          <w:color w:val="000000"/>
          <w:sz w:val="44"/>
        </w:rPr>
        <w:t>Енергія як межа реального випуску</w:t>
      </w:r>
    </w:p>
    <w:p>
      <w:pPr>
        <w:jc w:val="both"/>
      </w:pPr>
      <w:r>
        <w:rPr>
          <w:rFonts w:ascii="Arial" w:hAnsi="Arial" w:eastAsia="Arial"/>
          <w:b w:val="0"/>
          <w:i w:val="0"/>
          <w:color w:val="000000"/>
          <w:sz w:val="24"/>
        </w:rPr>
        <w:t>Енергетична доступність впливає на ВВП не лише через виробництво електроенергії як сектор. [1] Вона задає ритм роботи промисловості, ціну одиниці продукції, можливість виконувати будівельні та інфраструктурні проєкти, а також очікування приватного капіталу. Якщо електроенергія дорога або переривчаста, підприємство може мати попит, персонал і обладнання, але не мати стабільної виробничої години. У макрорамці це зменшує потенційний випуск і погіршує якість інвестиційного компонента.</w:t>
      </w:r>
    </w:p>
    <w:p>
      <w:pPr>
        <w:jc w:val="both"/>
      </w:pPr>
      <w:r>
        <w:rPr>
          <w:rFonts w:ascii="Arial" w:hAnsi="Arial" w:eastAsia="Arial"/>
          <w:b w:val="0"/>
          <w:i w:val="0"/>
          <w:color w:val="000000"/>
          <w:sz w:val="24"/>
        </w:rPr>
        <w:t>Для цього блоку енергетика не перетворюється на окремий секторний переказ. [1] Вона входить як обмеження траєкторії: за слабшої енергетичної стабілізації нижчою стає виробнича стеля, повільніше виконується відбудова, дорожчим стає імпорт енергії та обладнання, а чистий експорт отримує додатковий тиск. графи енергетичного і тарифного шару використовуються як пояснювальний вхід, а не як окрема сума до ВВП.</w:t>
      </w:r>
    </w:p>
    <w:p>
      <w:pPr>
        <w:pStyle w:val="Heading1"/>
      </w:pPr>
      <w:r>
        <w:rPr>
          <w:rFonts w:ascii="Arial" w:hAnsi="Arial" w:eastAsia="Arial"/>
          <w:b/>
          <w:i w:val="0"/>
          <w:color w:val="000000"/>
          <w:sz w:val="44"/>
        </w:rPr>
        <w:t>Праця і населення як межа потенційного ВВП</w:t>
      </w:r>
    </w:p>
    <w:p>
      <w:pPr>
        <w:jc w:val="both"/>
      </w:pPr>
      <w:r>
        <w:rPr>
          <w:rFonts w:ascii="Arial" w:hAnsi="Arial" w:eastAsia="Arial"/>
          <w:b w:val="0"/>
          <w:i w:val="0"/>
          <w:color w:val="000000"/>
          <w:sz w:val="24"/>
        </w:rPr>
        <w:t>Після 2022 року ВВП не можна читати без населення, міграції і якості робочої сили. [1] Коли частина населення виїхала, частина переміщена, частина мобілізована, а частина втратила роботу або кваліфікацію, потенційний ВВП отримує обмеження з боку пропозиції.</w:t>
      </w:r>
    </w:p>
    <w:p>
      <w:pPr>
        <w:jc w:val="both"/>
      </w:pPr>
      <w:r>
        <w:rPr>
          <w:rFonts w:ascii="Arial" w:hAnsi="Arial" w:eastAsia="Arial"/>
          <w:b w:val="0"/>
          <w:i w:val="0"/>
          <w:color w:val="000000"/>
          <w:sz w:val="24"/>
        </w:rPr>
        <w:t>У цьому блоці цей фактор не перетворюється на соціальний розділ. [1] Він використовується як макропояснення: нижча трудова участь обмежує C через доходи, I через спроможність виконувати проєкти, G через кадрову спроможність держави та NX через виробничі можливості експортерів. Через це людський капітал є частиною макроекономічний міст ВВП, але не повторює окремий аналіз людського капіталу.</w:t>
      </w:r>
    </w:p>
    <w:p>
      <w:pPr>
        <w:pStyle w:val="Heading1"/>
      </w:pPr>
      <w:r>
        <w:rPr>
          <w:rFonts w:ascii="Arial" w:hAnsi="Arial" w:eastAsia="Arial"/>
          <w:b/>
          <w:i w:val="0"/>
          <w:color w:val="000000"/>
          <w:sz w:val="44"/>
        </w:rPr>
        <w:t>Відбудова як інвестиційний канал, а не автоматичний ВВП</w:t>
      </w:r>
    </w:p>
    <w:p>
      <w:pPr>
        <w:jc w:val="both"/>
      </w:pPr>
      <w:r>
        <w:rPr>
          <w:rFonts w:ascii="Arial" w:hAnsi="Arial" w:eastAsia="Arial"/>
          <w:b w:val="0"/>
          <w:i w:val="0"/>
          <w:color w:val="000000"/>
          <w:sz w:val="24"/>
        </w:rPr>
        <w:t>Масштаб потреб відбудови є найбільшим потенційним джерелом інвестиційного попиту на горизонті 2030-2035. [1] Але потреба не дорівнює виконаному проєкту. Для того щоб потреба стала компонентом I, потрібні фінансування, проєктування, закупівлі, підрядники, матеріали, енергія, люди, логістика і контроль виконання.</w:t>
      </w:r>
    </w:p>
    <w:p>
      <w:pPr>
        <w:jc w:val="both"/>
      </w:pPr>
      <w:r>
        <w:rPr>
          <w:rFonts w:ascii="Arial" w:hAnsi="Arial" w:eastAsia="Arial"/>
          <w:b w:val="0"/>
          <w:i w:val="0"/>
          <w:color w:val="000000"/>
          <w:sz w:val="24"/>
        </w:rPr>
        <w:t>У центральній інерційній траєкторії відбудова підтримує зростання, але не створює швидкого стрибка. [1] Такий підхід є консервативним, але публічно чесним: він відділяє портфель потреб від фактичного річного випуску.</w:t>
      </w:r>
    </w:p>
    <w:p>
      <w:pPr>
        <w:pStyle w:val="Heading1"/>
      </w:pPr>
      <w:r>
        <w:rPr>
          <w:rFonts w:ascii="Arial" w:hAnsi="Arial" w:eastAsia="Arial"/>
          <w:b/>
          <w:i w:val="0"/>
          <w:color w:val="000000"/>
          <w:sz w:val="44"/>
        </w:rPr>
        <w:t>Чистий експорт і валютна межа</w:t>
      </w:r>
    </w:p>
    <w:p>
      <w:pPr>
        <w:jc w:val="both"/>
      </w:pPr>
      <w:r>
        <w:rPr>
          <w:rFonts w:ascii="Arial" w:hAnsi="Arial" w:eastAsia="Arial"/>
          <w:b w:val="0"/>
          <w:i w:val="0"/>
          <w:color w:val="000000"/>
          <w:sz w:val="24"/>
        </w:rPr>
        <w:t>Компонент NX є найскладнішим для короткого пояснення, бо він одночасно відображає промисловий експорт, аграрний експорт, імпорт енергії, імпорт обладнання, імпорт оборонних і відбудовчих товарів, логістику та валютні ціни. [1] Для ВВП важлива різниця між експортом та імпортом, але ця різниця не пояснює повний платіжний баланс.</w:t>
      </w:r>
    </w:p>
    <w:p>
      <w:pPr>
        <w:jc w:val="both"/>
      </w:pPr>
      <w:r>
        <w:rPr>
          <w:rFonts w:ascii="Arial" w:hAnsi="Arial" w:eastAsia="Arial"/>
          <w:b w:val="0"/>
          <w:i w:val="0"/>
          <w:color w:val="000000"/>
          <w:sz w:val="24"/>
        </w:rPr>
        <w:t>Якщо відбудова прискорюється за рахунок імпортного обладнання, короткостроково NX може погіршитися, навіть якщо майбутня виробнича здатність посилюється. [1] Якщо промисловий і аграрний експорт відновлюються швидше за імпортну залежність, NX підтримує ВВП. Ця двозначність робить зовнішній сектор ключовим мостом до окремого аналізу, але не дозволяє перетворити V2 на зовнішньоекономічний розділ.</w:t>
      </w:r>
    </w:p>
    <w:p>
      <w:pPr>
        <w:pStyle w:val="Heading1"/>
      </w:pPr>
      <w:r>
        <w:rPr>
          <w:rFonts w:ascii="Arial" w:hAnsi="Arial" w:eastAsia="Arial"/>
          <w:b/>
          <w:i w:val="0"/>
          <w:color w:val="000000"/>
          <w:sz w:val="44"/>
        </w:rPr>
        <w:t>Ціна капіталу і довіра до прогнозу</w:t>
      </w:r>
    </w:p>
    <w:p>
      <w:pPr>
        <w:jc w:val="both"/>
      </w:pPr>
      <w:r>
        <w:rPr>
          <w:rFonts w:ascii="Arial" w:hAnsi="Arial" w:eastAsia="Arial"/>
          <w:b w:val="0"/>
          <w:i w:val="0"/>
          <w:color w:val="000000"/>
          <w:sz w:val="24"/>
        </w:rPr>
        <w:t>ВВП-прогноз до 2035 року залежить від капіталу так само сильно, як від поточного попиту. [1] Висока премія ризику скорочує горизонт інвестицій, робить кредит дорожчим і відкладає проєкти, які могли б підвищити продуктивність. Навіть за наявності попиту бізнес може не запускати модернізацію, якщо не бачить страхування ризиків, доступу до довгого фінансування, стабільної енергії та прогнозованих правил.</w:t>
      </w:r>
    </w:p>
    <w:p>
      <w:pPr>
        <w:jc w:val="both"/>
      </w:pPr>
      <w:r>
        <w:rPr>
          <w:rFonts w:ascii="Arial" w:hAnsi="Arial" w:eastAsia="Arial"/>
          <w:b w:val="0"/>
          <w:i w:val="0"/>
          <w:color w:val="000000"/>
          <w:sz w:val="24"/>
        </w:rPr>
        <w:t>У макромості це відображається через компонент I і через потенційний випуск. [1] В інерційній траєкторії капітал повертається частково, а не масово. Тому ВВП зростає, але не виходить на траєкторію швидкого наздоганяння. Така логіка також пояснює, чому один короткостроковий рік зростання не змінює довгострокового прогнозу без інвестиційної бази.</w:t>
      </w:r>
    </w:p>
    <w:p>
      <w:pPr>
        <w:jc w:val="both"/>
      </w:pPr>
      <w:r>
        <w:rPr>
          <w:rFonts w:ascii="Arial" w:hAnsi="Arial" w:eastAsia="Arial"/>
          <w:b w:val="0"/>
          <w:i w:val="0"/>
          <w:color w:val="000000"/>
          <w:sz w:val="24"/>
        </w:rPr>
        <w:t>Промисловий зовнішній тиск посилюється регуляторними стандартами, зокрема механізмом вуглецевого коригування на кордоні ЄС, який впливає на довгострокову конкурентність експорту енергоємних секторів. [1]</w:t>
      </w:r>
    </w:p>
    <w:p>
      <w:pPr>
        <w:jc w:val="both"/>
      </w:pPr>
      <w:r>
        <w:rPr>
          <w:rFonts w:ascii="Arial" w:hAnsi="Arial" w:eastAsia="Arial"/>
          <w:b w:val="0"/>
          <w:i w:val="0"/>
          <w:color w:val="000000"/>
          <w:sz w:val="24"/>
        </w:rPr>
        <w:t>Аграрний експортний контур звіряється з OECD-FAO Agricultural Outlook 2025-2034, але в V2 він залишається частиною NX і загального макрообмеження, а не окремим секторним переказом. [1]</w:t>
      </w:r>
    </w:p>
    <w:p>
      <w:pPr>
        <w:pStyle w:val="Heading1"/>
      </w:pPr>
      <w:r>
        <w:rPr>
          <w:rFonts w:ascii="Arial" w:hAnsi="Arial" w:eastAsia="Arial"/>
          <w:b/>
          <w:i w:val="0"/>
          <w:color w:val="000000"/>
          <w:sz w:val="44"/>
        </w:rPr>
        <w:t>Розгорнута перевірка макроекономічних каналів</w:t>
      </w:r>
    </w:p>
    <w:p>
      <w:pPr>
        <w:jc w:val="both"/>
      </w:pPr>
      <w:r>
        <w:rPr>
          <w:rFonts w:ascii="Arial" w:hAnsi="Arial" w:eastAsia="Arial"/>
          <w:b w:val="0"/>
          <w:i w:val="0"/>
          <w:color w:val="000000"/>
          <w:sz w:val="24"/>
        </w:rPr>
        <w:t>Він перевіряє стійкість виробничого, інвестиційного, споживчого та зовнішньоторговельного контурів без розмивання центральної макроекономічної логіки. [1]</w:t>
      </w:r>
    </w:p>
    <w:p>
      <w:pPr>
        <w:pStyle w:val="Heading1"/>
      </w:pPr>
      <w:r>
        <w:rPr>
          <w:rFonts w:ascii="Arial" w:hAnsi="Arial" w:eastAsia="Arial"/>
          <w:b/>
          <w:i w:val="0"/>
          <w:color w:val="000000"/>
          <w:sz w:val="44"/>
        </w:rPr>
        <w:t>Канал виробничої доданої вартості</w:t>
      </w:r>
    </w:p>
    <w:p>
      <w:pPr>
        <w:jc w:val="both"/>
      </w:pPr>
      <w:r>
        <w:rPr>
          <w:rFonts w:ascii="Arial" w:hAnsi="Arial" w:eastAsia="Arial"/>
          <w:b w:val="0"/>
          <w:i w:val="0"/>
          <w:color w:val="000000"/>
          <w:sz w:val="24"/>
        </w:rPr>
        <w:t>Виробничий канал є найпрямішим способом зв’язати секторні докази з ВВП. [1] Він відповідає на питання, де саме створюється додана вартість, але не відповідає самостійно на питання, хто купує кінцевий продукт і як результат розподіляється між працею, прибутком і податками.</w:t>
      </w:r>
    </w:p>
    <w:p>
      <w:pPr>
        <w:jc w:val="both"/>
      </w:pPr>
      <w:r>
        <w:rPr>
          <w:rFonts w:ascii="Arial" w:hAnsi="Arial" w:eastAsia="Arial"/>
          <w:b w:val="0"/>
          <w:i w:val="0"/>
          <w:color w:val="000000"/>
          <w:sz w:val="24"/>
        </w:rPr>
        <w:t>Джерельний контроль для цього каналу дає статистика ВВП за виробничим методом. [1] Для секторної бази показує, що випуск сталі, добрив, машинобудівної продукції чи будівельних робіт має бути переведений у додану вартість або індексний сигнал, перш ніж він стає макроекономічним входом.</w:t>
      </w:r>
    </w:p>
    <w:p>
      <w:pPr>
        <w:pStyle w:val="Heading1"/>
      </w:pPr>
      <w:r>
        <w:rPr>
          <w:rFonts w:ascii="Arial" w:hAnsi="Arial" w:eastAsia="Arial"/>
          <w:b/>
          <w:i w:val="0"/>
          <w:color w:val="000000"/>
          <w:sz w:val="44"/>
        </w:rPr>
        <w:t>Канал кінцевого попиту</w:t>
      </w:r>
    </w:p>
    <w:p>
      <w:pPr>
        <w:jc w:val="both"/>
      </w:pPr>
      <w:r>
        <w:rPr>
          <w:rFonts w:ascii="Arial" w:hAnsi="Arial" w:eastAsia="Arial"/>
          <w:b w:val="0"/>
          <w:i w:val="0"/>
          <w:color w:val="000000"/>
          <w:sz w:val="24"/>
        </w:rPr>
        <w:t>Кінцевий попит показує, чи є в економіці покупець для випуску. [1] Навіть якщо виробнича спроможність частково зберігається, ВВП не отримає сильного імпульсу без споживання, інвестицій, державного попиту або експорту. Цей канал особливо важливий у воєнній економіці, де оборонний і бюджетний попит підтримують активність, але приватний інвестиційний попит залишається чутливим до ризику.</w:t>
      </w:r>
    </w:p>
    <w:p>
      <w:pPr>
        <w:jc w:val="both"/>
      </w:pPr>
      <w:r>
        <w:rPr>
          <w:rFonts w:ascii="Arial" w:hAnsi="Arial" w:eastAsia="Arial"/>
          <w:b w:val="0"/>
          <w:i w:val="0"/>
          <w:color w:val="000000"/>
          <w:sz w:val="24"/>
        </w:rPr>
        <w:t>Джерельний контроль для цього каналу дає таблиці ВВП за методом кінцевого використання. [1]</w:t>
      </w:r>
    </w:p>
    <w:p>
      <w:pPr>
        <w:pStyle w:val="Heading1"/>
      </w:pPr>
      <w:r>
        <w:rPr>
          <w:rFonts w:ascii="Arial" w:hAnsi="Arial" w:eastAsia="Arial"/>
          <w:b/>
          <w:i w:val="0"/>
          <w:color w:val="000000"/>
          <w:sz w:val="44"/>
        </w:rPr>
        <w:t>Канал доходів</w:t>
      </w:r>
    </w:p>
    <w:p>
      <w:pPr>
        <w:jc w:val="both"/>
      </w:pPr>
      <w:r>
        <w:rPr>
          <w:rFonts w:ascii="Arial" w:hAnsi="Arial" w:eastAsia="Arial"/>
          <w:b w:val="0"/>
          <w:i w:val="0"/>
          <w:color w:val="000000"/>
          <w:sz w:val="24"/>
        </w:rPr>
        <w:t>Доходний канал допомагає перевірити, чи макроекономічне зростання переходить у працю, прибуток і податкову базу. [1] Якщо ВВП зростає номінально, але оплата праці, продуктивність і прибутковість не формують стійкої бази, прогноз має нижчу якість. Цей канал важливий для зв’язку з бюджетною логікою, але V2 зупиняється на макроекономічній рамці і не переходить до розрахунку дефіциту чи боргу.</w:t>
      </w:r>
    </w:p>
    <w:p>
      <w:pPr>
        <w:jc w:val="both"/>
      </w:pPr>
      <w:r>
        <w:rPr>
          <w:rFonts w:ascii="Arial" w:hAnsi="Arial" w:eastAsia="Arial"/>
          <w:b w:val="0"/>
          <w:i w:val="0"/>
          <w:color w:val="000000"/>
          <w:sz w:val="24"/>
        </w:rPr>
        <w:t>Джерельний контроль для цього каналу дає розподільчий метод ВВП. [1] Розподільчий метод у цьому блоці є перевіркою доходної сторони, а не окремим додаванням до прогнозу.</w:t>
      </w:r>
    </w:p>
    <w:p>
      <w:pPr>
        <w:pStyle w:val="Heading1"/>
      </w:pPr>
      <w:r>
        <w:rPr>
          <w:rFonts w:ascii="Arial" w:hAnsi="Arial" w:eastAsia="Arial"/>
          <w:b/>
          <w:i w:val="0"/>
          <w:color w:val="000000"/>
          <w:sz w:val="44"/>
        </w:rPr>
        <w:t>Канал інфляції та дефляторів</w:t>
      </w:r>
    </w:p>
    <w:p>
      <w:pPr>
        <w:jc w:val="both"/>
      </w:pPr>
      <w:r>
        <w:rPr>
          <w:rFonts w:ascii="Arial" w:hAnsi="Arial" w:eastAsia="Arial"/>
          <w:b w:val="0"/>
          <w:i w:val="0"/>
          <w:color w:val="000000"/>
          <w:sz w:val="24"/>
        </w:rPr>
        <w:t>Номінальний ВВП у гривні під час війни може зростати навіть тоді, коли реальний випуск не повертається до довоєнної стелі. [1] Без цього розділення читач може помилково сприйняти інфляційне збільшення гривневого показника як структурне відновлення економіки.</w:t>
      </w:r>
    </w:p>
    <w:p>
      <w:pPr>
        <w:jc w:val="both"/>
      </w:pPr>
      <w:r>
        <w:rPr>
          <w:rFonts w:ascii="Arial" w:hAnsi="Arial" w:eastAsia="Arial"/>
          <w:b w:val="0"/>
          <w:i w:val="0"/>
          <w:color w:val="000000"/>
          <w:sz w:val="24"/>
        </w:rPr>
        <w:t>Джерельний контроль для цього каналу дає ряд індексу споживчих цін. [1] Інфляційний caveat пояснює, чому індексна форма прогнозу є безпечнішою для публічного довгого горизонту.</w:t>
      </w:r>
    </w:p>
    <w:p>
      <w:pPr>
        <w:pStyle w:val="Heading1"/>
      </w:pPr>
      <w:r>
        <w:rPr>
          <w:rFonts w:ascii="Arial" w:hAnsi="Arial" w:eastAsia="Arial"/>
          <w:b/>
          <w:i w:val="0"/>
          <w:color w:val="000000"/>
          <w:sz w:val="44"/>
        </w:rPr>
        <w:t>Канал курсу та доларового виміру</w:t>
      </w:r>
    </w:p>
    <w:p>
      <w:pPr>
        <w:jc w:val="both"/>
      </w:pPr>
      <w:r>
        <w:rPr>
          <w:rFonts w:ascii="Arial" w:hAnsi="Arial" w:eastAsia="Arial"/>
          <w:b w:val="0"/>
          <w:i w:val="0"/>
          <w:color w:val="000000"/>
          <w:sz w:val="24"/>
        </w:rPr>
        <w:t>Доларовий ВВП потрібний для міжнародного порівняння, але він залежить не лише від реального випуску. [1] На нього впливають курс, метод оцінки, інфляція, зовнішні ціни і зміна структури економіки.</w:t>
      </w:r>
    </w:p>
    <w:p>
      <w:pPr>
        <w:jc w:val="both"/>
      </w:pPr>
      <w:r>
        <w:rPr>
          <w:rFonts w:ascii="Arial" w:hAnsi="Arial" w:eastAsia="Arial"/>
          <w:b w:val="0"/>
          <w:i w:val="0"/>
          <w:color w:val="000000"/>
          <w:sz w:val="24"/>
        </w:rPr>
        <w:t>Джерельний контроль для цього каналу дає офіційний курсовий ряд НБУ. [1] Курсова рамка пояснює, чому гривневий, доларовий і реальний індексний ВВП можуть рухатися різними темпами.</w:t>
      </w:r>
    </w:p>
    <w:p>
      <w:pPr>
        <w:pStyle w:val="Heading1"/>
      </w:pPr>
      <w:r>
        <w:rPr>
          <w:rFonts w:ascii="Arial" w:hAnsi="Arial" w:eastAsia="Arial"/>
          <w:b/>
          <w:i w:val="0"/>
          <w:color w:val="000000"/>
          <w:sz w:val="44"/>
        </w:rPr>
        <w:t>Канал праці та зарплат</w:t>
      </w:r>
    </w:p>
    <w:p>
      <w:pPr>
        <w:jc w:val="both"/>
      </w:pPr>
      <w:r>
        <w:rPr>
          <w:rFonts w:ascii="Arial" w:hAnsi="Arial" w:eastAsia="Arial"/>
          <w:b w:val="0"/>
          <w:i w:val="0"/>
          <w:color w:val="000000"/>
          <w:sz w:val="24"/>
        </w:rPr>
        <w:t>Ринок праці входить у ВВП двома способами: [1] через пропозицію праці, яка визначає потенційний випуск, і через доходи, які підтримують споживання. Після 2022 року цей канал втратив просту зіставність через міграцію, мобілізацію, переміщення, зміну зайнятості та обмеження статистичних рядів.</w:t>
      </w:r>
    </w:p>
    <w:p>
      <w:pPr>
        <w:jc w:val="both"/>
      </w:pPr>
      <w:r>
        <w:rPr>
          <w:rFonts w:ascii="Arial" w:hAnsi="Arial" w:eastAsia="Arial"/>
          <w:b w:val="0"/>
          <w:i w:val="0"/>
          <w:color w:val="000000"/>
          <w:sz w:val="24"/>
        </w:rPr>
        <w:t>Джерельний контроль для цього каналу дає дані ринку праці. [1] Цей caveat захищає прогноз від надмірної точності там, де офіційні ряди неповні або методично змінені.</w:t>
      </w:r>
    </w:p>
    <w:p>
      <w:pPr>
        <w:pStyle w:val="Heading1"/>
      </w:pPr>
      <w:r>
        <w:rPr>
          <w:rFonts w:ascii="Arial" w:hAnsi="Arial" w:eastAsia="Arial"/>
          <w:b/>
          <w:i w:val="0"/>
          <w:color w:val="000000"/>
          <w:sz w:val="44"/>
        </w:rPr>
        <w:t>Канал населення</w:t>
      </w:r>
    </w:p>
    <w:p>
      <w:pPr>
        <w:jc w:val="both"/>
      </w:pPr>
      <w:r>
        <w:rPr>
          <w:rFonts w:ascii="Arial" w:hAnsi="Arial" w:eastAsia="Arial"/>
          <w:b w:val="0"/>
          <w:i w:val="0"/>
          <w:color w:val="000000"/>
          <w:sz w:val="24"/>
        </w:rPr>
        <w:t>Населення впливає на ВВП через споживання, трудову участь, податкову базу і здатність виконувати проєкти. [1] Різні оцінки населення можуть істотно змінювати ВВП на душу, трудову базу і потенційний випуск.</w:t>
      </w:r>
    </w:p>
    <w:p>
      <w:pPr>
        <w:jc w:val="both"/>
      </w:pPr>
      <w:r>
        <w:rPr>
          <w:rFonts w:ascii="Arial" w:hAnsi="Arial" w:eastAsia="Arial"/>
          <w:b w:val="0"/>
          <w:i w:val="0"/>
          <w:color w:val="000000"/>
          <w:sz w:val="24"/>
        </w:rPr>
        <w:t>Джерельний контроль для цього каналу дає демографічні ряди Держстату. [1]</w:t>
      </w:r>
    </w:p>
    <w:p>
      <w:pPr>
        <w:pStyle w:val="Heading1"/>
      </w:pPr>
      <w:r>
        <w:rPr>
          <w:rFonts w:ascii="Arial" w:hAnsi="Arial" w:eastAsia="Arial"/>
          <w:b/>
          <w:i w:val="0"/>
          <w:color w:val="000000"/>
          <w:sz w:val="44"/>
        </w:rPr>
        <w:t>Канал відбудови</w:t>
      </w:r>
    </w:p>
    <w:p>
      <w:pPr>
        <w:jc w:val="both"/>
      </w:pPr>
      <w:r>
        <w:rPr>
          <w:rFonts w:ascii="Arial" w:hAnsi="Arial" w:eastAsia="Arial"/>
          <w:b w:val="0"/>
          <w:i w:val="0"/>
          <w:color w:val="000000"/>
          <w:sz w:val="24"/>
        </w:rPr>
        <w:t>Відбудова створює великий потенційний інвестиційний попит, але макроекономічний міст ВВП вимагає бачити весь ланцюг переходу від потреби до ВВП. [1] Потрібні проєкт, фінансування, закупівля, матеріали, виконання робіт, оплата праці і створення доданої вартості. Якщо проєкт залишається в реєстрі потреб або очікувань, він не є внеском у ВВП поточного року.</w:t>
      </w:r>
    </w:p>
    <w:p>
      <w:pPr>
        <w:jc w:val="both"/>
      </w:pPr>
      <w:r>
        <w:rPr>
          <w:rFonts w:ascii="Arial" w:hAnsi="Arial" w:eastAsia="Arial"/>
          <w:b w:val="0"/>
          <w:i w:val="0"/>
          <w:color w:val="000000"/>
          <w:sz w:val="24"/>
        </w:rPr>
        <w:t>Джерельний контроль для цього каналу дає десятирічна оцінка потреб RDNA5. [1] У цьому блоці відбудова входить через компонент I та виробничі зв’язки, а не як пряма сума до ВВП.</w:t>
      </w:r>
    </w:p>
    <w:p>
      <w:pPr>
        <w:pStyle w:val="Heading1"/>
      </w:pPr>
      <w:r>
        <w:rPr>
          <w:rFonts w:ascii="Arial" w:hAnsi="Arial" w:eastAsia="Arial"/>
          <w:b/>
          <w:i w:val="0"/>
          <w:color w:val="000000"/>
          <w:sz w:val="44"/>
        </w:rPr>
        <w:t>Канал державного попиту</w:t>
      </w:r>
    </w:p>
    <w:p>
      <w:pPr>
        <w:jc w:val="both"/>
      </w:pPr>
      <w:r>
        <w:rPr>
          <w:rFonts w:ascii="Arial" w:hAnsi="Arial" w:eastAsia="Arial"/>
          <w:b w:val="0"/>
          <w:i w:val="0"/>
          <w:color w:val="000000"/>
          <w:sz w:val="24"/>
        </w:rPr>
        <w:t>Державний попит під час війни підтримує економічну активність і базові функції держави. [1] Але його макроекономічна якість залежить від джерела фінансування, імпортної частки, локального виконання і тривалості ефекту.</w:t>
      </w:r>
    </w:p>
    <w:p>
      <w:pPr>
        <w:jc w:val="both"/>
      </w:pPr>
      <w:r>
        <w:rPr>
          <w:rFonts w:ascii="Arial" w:hAnsi="Arial" w:eastAsia="Arial"/>
          <w:b w:val="0"/>
          <w:i w:val="0"/>
          <w:color w:val="000000"/>
          <w:sz w:val="24"/>
        </w:rPr>
        <w:t>Джерельний контроль для цього каналу дає зведені бюджетні ряди. [1] Бюджетний ряд потрібний для контексту G; повний дефіцит і борг належать до іншого документа.</w:t>
      </w:r>
    </w:p>
    <w:p>
      <w:pPr>
        <w:pStyle w:val="Heading1"/>
      </w:pPr>
      <w:r>
        <w:rPr>
          <w:rFonts w:ascii="Arial" w:hAnsi="Arial" w:eastAsia="Arial"/>
          <w:b/>
          <w:i w:val="0"/>
          <w:color w:val="000000"/>
          <w:sz w:val="44"/>
        </w:rPr>
        <w:t>Канал зовнішньої рівноваги</w:t>
      </w:r>
    </w:p>
    <w:p>
      <w:pPr>
        <w:jc w:val="both"/>
      </w:pPr>
      <w:r>
        <w:rPr>
          <w:rFonts w:ascii="Arial" w:hAnsi="Arial" w:eastAsia="Arial"/>
          <w:b w:val="0"/>
          <w:i w:val="0"/>
          <w:color w:val="000000"/>
          <w:sz w:val="24"/>
        </w:rPr>
        <w:t>Чистий експорт є компонентом ВВП, але його не можна читати без ширшої зовнішньої рамки. [1] Після 2022 року імпорт може зростати через енергетичні, оборонні та відбудовчі потреби, тоді як експорт залежить від логістики, безпеки, портів, попиту і стандартів ринку. Тому NX у цьому блоці пояснює внесок зовнішнього попиту у ВВП, але не замінює аналіз платіжного балансу.</w:t>
      </w:r>
    </w:p>
    <w:p>
      <w:pPr>
        <w:jc w:val="both"/>
      </w:pPr>
      <w:r>
        <w:rPr>
          <w:rFonts w:ascii="Arial" w:hAnsi="Arial" w:eastAsia="Arial"/>
          <w:b w:val="0"/>
          <w:i w:val="0"/>
          <w:color w:val="000000"/>
          <w:sz w:val="24"/>
        </w:rPr>
        <w:t>Джерельний контроль для цього каналу дає ряд платіжного балансу. [1] Повна зовнішньоекономічна інтерпретація передається до окремого зовнішнього блоку.</w:t>
      </w:r>
    </w:p>
    <w:p>
      <w:pPr>
        <w:pStyle w:val="Heading1"/>
      </w:pPr>
      <w:r>
        <w:rPr>
          <w:rFonts w:ascii="Arial" w:hAnsi="Arial" w:eastAsia="Arial"/>
          <w:b/>
          <w:i w:val="0"/>
          <w:color w:val="000000"/>
          <w:sz w:val="44"/>
        </w:rPr>
        <w:t>Канал резервів і зовнішнього фінансування</w:t>
      </w:r>
    </w:p>
    <w:p>
      <w:pPr>
        <w:jc w:val="both"/>
      </w:pPr>
      <w:r>
        <w:rPr>
          <w:rFonts w:ascii="Arial" w:hAnsi="Arial" w:eastAsia="Arial"/>
          <w:b w:val="0"/>
          <w:i w:val="0"/>
          <w:color w:val="000000"/>
          <w:sz w:val="24"/>
        </w:rPr>
        <w:t>Міжнародні резерви і зовнішнє фінансування не входять у формулу ВВП як окремий доданок, але вони впливають на стабільність курсу, здатність фінансувати імпорт, бюджетну стійкість і очікування бізнесу. [1] У воєнній економіці цей канал часто визначає, чи може приватний сектор планувати довше одного сезону.</w:t>
      </w:r>
    </w:p>
    <w:p>
      <w:pPr>
        <w:jc w:val="both"/>
      </w:pPr>
      <w:r>
        <w:rPr>
          <w:rFonts w:ascii="Arial" w:hAnsi="Arial" w:eastAsia="Arial"/>
          <w:b w:val="0"/>
          <w:i w:val="0"/>
          <w:color w:val="000000"/>
          <w:sz w:val="24"/>
        </w:rPr>
        <w:t>Джерельний контроль для цього каналу дає ряд міжнародних резервів. [1]</w:t>
      </w:r>
    </w:p>
    <w:p>
      <w:pPr>
        <w:pStyle w:val="Heading1"/>
      </w:pPr>
      <w:r>
        <w:rPr>
          <w:rFonts w:ascii="Arial" w:hAnsi="Arial" w:eastAsia="Arial"/>
          <w:b/>
          <w:i w:val="0"/>
          <w:color w:val="000000"/>
          <w:sz w:val="44"/>
        </w:rPr>
        <w:t>Канал вартості капіталу</w:t>
      </w:r>
    </w:p>
    <w:p>
      <w:pPr>
        <w:jc w:val="both"/>
      </w:pPr>
      <w:r>
        <w:rPr>
          <w:rFonts w:ascii="Arial" w:hAnsi="Arial" w:eastAsia="Arial"/>
          <w:b w:val="0"/>
          <w:i w:val="0"/>
          <w:color w:val="000000"/>
          <w:sz w:val="24"/>
        </w:rPr>
        <w:t>Облікова ставка і ширші фінансові умови визначають ціну кредиту та інвестиційний горизонт. [1] Якщо капітал дорогий, бізнес відкладає модернізацію, а інвестиційний компонент ВВП залишається слабшим. Якщо ризик страхується і фінансування довшає, той самий попит може перейти в обладнання, будівництво, виробничі лінії і продуктивність.</w:t>
      </w:r>
    </w:p>
    <w:p>
      <w:pPr>
        <w:jc w:val="both"/>
      </w:pPr>
      <w:r>
        <w:rPr>
          <w:rFonts w:ascii="Arial" w:hAnsi="Arial" w:eastAsia="Arial"/>
          <w:b w:val="0"/>
          <w:i w:val="0"/>
          <w:color w:val="000000"/>
          <w:sz w:val="24"/>
        </w:rPr>
        <w:t>Джерельний контроль для цього каналу дає ряд облікової ставки. [1] Капітал входить у цьому блоці через I та потенційний випуск, а не як самостійний сектор.</w:t>
      </w:r>
    </w:p>
    <w:p>
      <w:pPr>
        <w:pStyle w:val="Heading1"/>
      </w:pPr>
      <w:r>
        <w:rPr>
          <w:rFonts w:ascii="Arial" w:hAnsi="Arial" w:eastAsia="Arial"/>
          <w:b/>
          <w:i w:val="0"/>
          <w:color w:val="000000"/>
          <w:sz w:val="44"/>
        </w:rPr>
        <w:t>Канал промислового експорту</w:t>
      </w:r>
    </w:p>
    <w:p>
      <w:pPr>
        <w:jc w:val="both"/>
      </w:pPr>
      <w:r>
        <w:rPr>
          <w:rFonts w:ascii="Arial" w:hAnsi="Arial" w:eastAsia="Arial"/>
          <w:b w:val="0"/>
          <w:i w:val="0"/>
          <w:color w:val="000000"/>
          <w:sz w:val="24"/>
        </w:rPr>
        <w:t>Енергоємні та промислові сектори впливають на ВВП через додану вартість і чистий експорт. [1] Але вони також стикаються з вуглецевими стандартами, логістикою, енергетичною ціною і зміною ринків. Тому секторний експорт не можна просто додати до ВВП: він уже входить у національні рахунки через відповідні канали.</w:t>
      </w:r>
    </w:p>
    <w:p>
      <w:pPr>
        <w:jc w:val="both"/>
      </w:pPr>
      <w:r>
        <w:rPr>
          <w:rFonts w:ascii="Arial" w:hAnsi="Arial" w:eastAsia="Arial"/>
          <w:b w:val="0"/>
          <w:i w:val="0"/>
          <w:color w:val="000000"/>
          <w:sz w:val="24"/>
        </w:rPr>
        <w:t>Джерельний контроль для цього каналу дає короткостроковий прогноз worldsteel. [1] Для цього блоку це зовнішній орієнтир для промислового середовища, а не окрема оцінка українського ВВП.</w:t>
      </w:r>
    </w:p>
    <w:p>
      <w:pPr>
        <w:pStyle w:val="Heading1"/>
      </w:pPr>
      <w:r>
        <w:rPr>
          <w:rFonts w:ascii="Arial" w:hAnsi="Arial" w:eastAsia="Arial"/>
          <w:b/>
          <w:i w:val="0"/>
          <w:color w:val="000000"/>
          <w:sz w:val="44"/>
        </w:rPr>
        <w:t>Канал європейських правил</w:t>
      </w:r>
    </w:p>
    <w:p>
      <w:pPr>
        <w:jc w:val="both"/>
      </w:pPr>
      <w:r>
        <w:rPr>
          <w:rFonts w:ascii="Arial" w:hAnsi="Arial" w:eastAsia="Arial"/>
          <w:b w:val="0"/>
          <w:i w:val="0"/>
          <w:color w:val="000000"/>
          <w:sz w:val="24"/>
        </w:rPr>
        <w:t>Європейські правила ринку впливають на конкурентність експорту і на інвестиційні рішення підприємств. [1] CBAM не є компонентом ВВП, але може змінювати витрати, технологічні вимоги і доступ до ринку для енергоємних секторів. У макроекономічний міст ВВП показує вплив на додану вартість, інвестиції та NX у довгому горизонті.</w:t>
      </w:r>
    </w:p>
    <w:p>
      <w:pPr>
        <w:jc w:val="both"/>
      </w:pPr>
      <w:r>
        <w:rPr>
          <w:rFonts w:ascii="Arial" w:hAnsi="Arial" w:eastAsia="Arial"/>
          <w:b w:val="0"/>
          <w:i w:val="0"/>
          <w:color w:val="000000"/>
          <w:sz w:val="24"/>
        </w:rPr>
        <w:t>Джерельний контроль для цього каналу дає механізм CBAM Європейської комісії. [1]</w:t>
      </w:r>
    </w:p>
    <w:p>
      <w:pPr>
        <w:pStyle w:val="Heading1"/>
      </w:pPr>
      <w:r>
        <w:rPr>
          <w:rFonts w:ascii="Arial" w:hAnsi="Arial" w:eastAsia="Arial"/>
          <w:b/>
          <w:i w:val="0"/>
          <w:color w:val="000000"/>
          <w:sz w:val="44"/>
        </w:rPr>
        <w:t>Канал аграрного експорту</w:t>
      </w:r>
    </w:p>
    <w:p>
      <w:pPr>
        <w:jc w:val="both"/>
      </w:pPr>
      <w:r>
        <w:rPr>
          <w:rFonts w:ascii="Arial" w:hAnsi="Arial" w:eastAsia="Arial"/>
          <w:b w:val="0"/>
          <w:i w:val="0"/>
          <w:color w:val="000000"/>
          <w:sz w:val="24"/>
        </w:rPr>
        <w:t>Довгостроковий аграрний прогноз допомагає перевірити зовнішній попит і товарну рамку, але не замінює українську макромодель. [1]</w:t>
      </w:r>
    </w:p>
    <w:p>
      <w:pPr>
        <w:jc w:val="both"/>
      </w:pPr>
      <w:r>
        <w:rPr>
          <w:rFonts w:ascii="Arial" w:hAnsi="Arial" w:eastAsia="Arial"/>
          <w:b w:val="0"/>
          <w:i w:val="0"/>
          <w:color w:val="000000"/>
          <w:sz w:val="24"/>
        </w:rPr>
        <w:t>Джерельний контроль для цього каналу дає OECD-FAO Agricultural Outlook 2025-2034. [1] У цьому блоці аграрний канал входить через NX, виробництво і інвестиційний потенціал переробки.</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Канал</w:t>
            </w:r>
          </w:p>
        </w:tc>
        <w:tc>
          <w:tcPr>
            <w:tcW w:type="dxa" w:w="1559"/>
          </w:tcPr>
          <w:p>
            <w:pPr>
              <w:jc w:val="left"/>
            </w:pPr>
            <w:r/>
            <w:r>
              <w:rPr>
                <w:rFonts w:ascii="Arial" w:hAnsi="Arial" w:eastAsia="Arial"/>
                <w:b/>
                <w:i w:val="0"/>
                <w:color w:val="000000"/>
                <w:sz w:val="20"/>
              </w:rPr>
              <w:t>Первинний компонент ВВП</w:t>
            </w:r>
          </w:p>
        </w:tc>
        <w:tc>
          <w:tcPr>
            <w:tcW w:type="dxa" w:w="1559"/>
          </w:tcPr>
          <w:p>
            <w:pPr>
              <w:jc w:val="left"/>
            </w:pPr>
            <w:r/>
            <w:r>
              <w:rPr>
                <w:rFonts w:ascii="Arial" w:hAnsi="Arial" w:eastAsia="Arial"/>
                <w:b/>
                <w:i w:val="0"/>
                <w:color w:val="000000"/>
                <w:sz w:val="20"/>
              </w:rPr>
              <w:t>Джерельний контроль</w:t>
            </w:r>
          </w:p>
        </w:tc>
        <w:tc>
          <w:tcPr>
            <w:tcW w:type="dxa" w:w="1559"/>
          </w:tcPr>
          <w:p>
            <w:pPr>
              <w:jc w:val="left"/>
            </w:pPr>
            <w:r/>
            <w:r>
              <w:rPr>
                <w:rFonts w:ascii="Arial" w:hAnsi="Arial" w:eastAsia="Arial"/>
                <w:b/>
                <w:i w:val="0"/>
                <w:color w:val="000000"/>
                <w:sz w:val="20"/>
              </w:rPr>
              <w:t>Ризик подвійного рахунку</w:t>
            </w:r>
          </w:p>
        </w:tc>
        <w:tc>
          <w:tcPr>
            <w:tcW w:type="dxa" w:w="1559"/>
          </w:tcPr>
          <w:p>
            <w:pPr>
              <w:jc w:val="left"/>
            </w:pPr>
            <w:r/>
            <w:r>
              <w:rPr>
                <w:rFonts w:ascii="Arial" w:hAnsi="Arial" w:eastAsia="Arial"/>
                <w:b/>
                <w:i w:val="0"/>
                <w:color w:val="000000"/>
                <w:sz w:val="20"/>
              </w:rPr>
              <w:t>Публічне рішення V2</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Виробнича додана вартість</w:t>
            </w:r>
          </w:p>
        </w:tc>
        <w:tc>
          <w:tcPr>
            <w:tcW w:type="dxa" w:w="1559"/>
          </w:tcPr>
          <w:p>
            <w:pPr>
              <w:jc w:val="left"/>
            </w:pPr>
            <w:r/>
            <w:r>
              <w:rPr>
                <w:rFonts w:ascii="Arial" w:hAnsi="Arial" w:eastAsia="Arial"/>
                <w:b w:val="0"/>
                <w:i w:val="0"/>
                <w:color w:val="000000"/>
                <w:sz w:val="20"/>
              </w:rPr>
              <w:t>виробничий метод</w:t>
            </w:r>
          </w:p>
        </w:tc>
        <w:tc>
          <w:tcPr>
            <w:tcW w:type="dxa" w:w="1559"/>
          </w:tcPr>
          <w:p>
            <w:pPr>
              <w:jc w:val="left"/>
            </w:pPr>
            <w:r/>
            <w:r>
              <w:rPr>
                <w:rFonts w:ascii="Arial" w:hAnsi="Arial" w:eastAsia="Arial"/>
                <w:b w:val="0"/>
                <w:i w:val="0"/>
                <w:color w:val="000000"/>
                <w:sz w:val="20"/>
              </w:rPr>
              <w:t>STAT_ВВП_за_виробничим_методом.xlsx</w:t>
            </w:r>
          </w:p>
        </w:tc>
        <w:tc>
          <w:tcPr>
            <w:tcW w:type="dxa" w:w="1559"/>
          </w:tcPr>
          <w:p>
            <w:pPr>
              <w:jc w:val="left"/>
            </w:pPr>
            <w:r/>
            <w:r>
              <w:rPr>
                <w:rFonts w:ascii="Arial" w:hAnsi="Arial" w:eastAsia="Arial"/>
                <w:b w:val="0"/>
                <w:i w:val="0"/>
                <w:color w:val="000000"/>
                <w:sz w:val="20"/>
              </w:rPr>
              <w:t>високий, якщо додавати фізичний випуск</w:t>
            </w:r>
          </w:p>
        </w:tc>
        <w:tc>
          <w:tcPr>
            <w:tcW w:type="dxa" w:w="1559"/>
          </w:tcPr>
          <w:p>
            <w:pPr>
              <w:jc w:val="left"/>
            </w:pPr>
            <w:r/>
            <w:r>
              <w:rPr>
                <w:rFonts w:ascii="Arial" w:hAnsi="Arial" w:eastAsia="Arial"/>
                <w:b w:val="0"/>
                <w:i w:val="0"/>
                <w:color w:val="000000"/>
                <w:sz w:val="20"/>
              </w:rPr>
              <w:t>переводити у додану вартість або індекс</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Кінцевий попит</w:t>
            </w:r>
          </w:p>
        </w:tc>
        <w:tc>
          <w:tcPr>
            <w:tcW w:type="dxa" w:w="1559"/>
          </w:tcPr>
          <w:p>
            <w:pPr>
              <w:jc w:val="left"/>
            </w:pPr>
            <w:r/>
            <w:r>
              <w:rPr>
                <w:rFonts w:ascii="Arial" w:hAnsi="Arial" w:eastAsia="Arial"/>
                <w:b w:val="0"/>
                <w:i w:val="0"/>
                <w:color w:val="000000"/>
                <w:sz w:val="20"/>
              </w:rPr>
              <w:t>C/I/G/NX</w:t>
            </w:r>
          </w:p>
        </w:tc>
        <w:tc>
          <w:tcPr>
            <w:tcW w:type="dxa" w:w="1559"/>
          </w:tcPr>
          <w:p>
            <w:pPr>
              <w:jc w:val="left"/>
            </w:pPr>
            <w:r/>
            <w:r>
              <w:rPr>
                <w:rFonts w:ascii="Arial" w:hAnsi="Arial" w:eastAsia="Arial"/>
                <w:b w:val="0"/>
                <w:i w:val="0"/>
                <w:color w:val="000000"/>
                <w:sz w:val="20"/>
              </w:rPr>
              <w:t>STAT_ВВП_за_методом_кінцевого_використання.xlsx</w:t>
            </w:r>
          </w:p>
        </w:tc>
        <w:tc>
          <w:tcPr>
            <w:tcW w:type="dxa" w:w="1559"/>
          </w:tcPr>
          <w:p>
            <w:pPr>
              <w:jc w:val="left"/>
            </w:pPr>
            <w:r/>
            <w:r>
              <w:rPr>
                <w:rFonts w:ascii="Arial" w:hAnsi="Arial" w:eastAsia="Arial"/>
                <w:b w:val="0"/>
                <w:i w:val="0"/>
                <w:color w:val="000000"/>
                <w:sz w:val="20"/>
              </w:rPr>
              <w:t>середній, якщо змішувати попит і випуск</w:t>
            </w:r>
          </w:p>
        </w:tc>
        <w:tc>
          <w:tcPr>
            <w:tcW w:type="dxa" w:w="1559"/>
          </w:tcPr>
          <w:p>
            <w:pPr>
              <w:jc w:val="left"/>
            </w:pPr>
            <w:r/>
            <w:r>
              <w:rPr>
                <w:rFonts w:ascii="Arial" w:hAnsi="Arial" w:eastAsia="Arial"/>
                <w:b w:val="0"/>
                <w:i w:val="0"/>
                <w:color w:val="000000"/>
                <w:sz w:val="20"/>
              </w:rPr>
              <w:t>читати через компоненти кінцевого використання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Доходи</w:t>
            </w:r>
          </w:p>
        </w:tc>
        <w:tc>
          <w:tcPr>
            <w:tcW w:type="dxa" w:w="1559"/>
          </w:tcPr>
          <w:p>
            <w:pPr>
              <w:jc w:val="left"/>
            </w:pPr>
            <w:r/>
            <w:r>
              <w:rPr>
                <w:rFonts w:ascii="Arial" w:hAnsi="Arial" w:eastAsia="Arial"/>
                <w:b w:val="0"/>
                <w:i w:val="0"/>
                <w:color w:val="000000"/>
                <w:sz w:val="20"/>
              </w:rPr>
              <w:t>розподільчий метод</w:t>
            </w:r>
          </w:p>
        </w:tc>
        <w:tc>
          <w:tcPr>
            <w:tcW w:type="dxa" w:w="1559"/>
          </w:tcPr>
          <w:p>
            <w:pPr>
              <w:jc w:val="left"/>
            </w:pPr>
            <w:r/>
            <w:r>
              <w:rPr>
                <w:rFonts w:ascii="Arial" w:hAnsi="Arial" w:eastAsia="Arial"/>
                <w:b w:val="0"/>
                <w:i w:val="0"/>
                <w:color w:val="000000"/>
                <w:sz w:val="20"/>
              </w:rPr>
              <w:t>STAT_ВВП_за_розподільчим_методом.xlsx</w:t>
            </w:r>
          </w:p>
        </w:tc>
        <w:tc>
          <w:tcPr>
            <w:tcW w:type="dxa" w:w="1559"/>
          </w:tcPr>
          <w:p>
            <w:pPr>
              <w:jc w:val="left"/>
            </w:pPr>
            <w:r/>
            <w:r>
              <w:rPr>
                <w:rFonts w:ascii="Arial" w:hAnsi="Arial" w:eastAsia="Arial"/>
                <w:b w:val="0"/>
                <w:i w:val="0"/>
                <w:color w:val="000000"/>
                <w:sz w:val="20"/>
              </w:rPr>
              <w:t>середній, якщо додавати зарплати до ВВП</w:t>
            </w:r>
          </w:p>
        </w:tc>
        <w:tc>
          <w:tcPr>
            <w:tcW w:type="dxa" w:w="1559"/>
          </w:tcPr>
          <w:p>
            <w:pPr>
              <w:jc w:val="left"/>
            </w:pPr>
            <w:r/>
            <w:r>
              <w:rPr>
                <w:rFonts w:ascii="Arial" w:hAnsi="Arial" w:eastAsia="Arial"/>
                <w:b w:val="0"/>
                <w:i w:val="0"/>
                <w:color w:val="000000"/>
                <w:sz w:val="20"/>
              </w:rPr>
              <w:t>використовувати як перевірку доходної сторони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Відбудова</w:t>
            </w:r>
          </w:p>
        </w:tc>
        <w:tc>
          <w:tcPr>
            <w:tcW w:type="dxa" w:w="1559"/>
          </w:tcPr>
          <w:p>
            <w:pPr>
              <w:jc w:val="left"/>
            </w:pPr>
            <w:r/>
            <w:r>
              <w:rPr>
                <w:rFonts w:ascii="Arial" w:hAnsi="Arial" w:eastAsia="Arial"/>
                <w:b w:val="0"/>
                <w:i w:val="0"/>
                <w:color w:val="000000"/>
                <w:sz w:val="20"/>
              </w:rPr>
              <w:t>I</w:t>
            </w:r>
          </w:p>
        </w:tc>
        <w:tc>
          <w:tcPr>
            <w:tcW w:type="dxa" w:w="1559"/>
          </w:tcPr>
          <w:p>
            <w:pPr>
              <w:jc w:val="left"/>
            </w:pPr>
            <w:r/>
            <w:r>
              <w:rPr>
                <w:rFonts w:ascii="Arial" w:hAnsi="Arial" w:eastAsia="Arial"/>
                <w:b w:val="0"/>
                <w:i w:val="0"/>
                <w:color w:val="000000"/>
                <w:sz w:val="20"/>
              </w:rPr>
              <w:t>Ukraine Fifth Rapid</w:t>
            </w:r>
          </w:p>
        </w:tc>
        <w:tc>
          <w:tcPr>
            <w:tcW w:type="dxa" w:w="1559"/>
          </w:tcPr>
          <w:p>
            <w:pPr>
              <w:jc w:val="left"/>
            </w:pPr>
            <w:r/>
            <w:r>
              <w:rPr>
                <w:rFonts w:ascii="Arial" w:hAnsi="Arial" w:eastAsia="Arial"/>
                <w:b w:val="0"/>
                <w:i w:val="0"/>
                <w:color w:val="000000"/>
                <w:sz w:val="20"/>
              </w:rPr>
              <w:t>високий, якщо потреби прирівняти до ВВП</w:t>
            </w:r>
          </w:p>
        </w:tc>
        <w:tc>
          <w:tcPr>
            <w:tcW w:type="dxa" w:w="1559"/>
          </w:tcPr>
          <w:p>
            <w:pPr>
              <w:jc w:val="left"/>
            </w:pPr>
            <w:r/>
            <w:r>
              <w:rPr>
                <w:rFonts w:ascii="Arial" w:hAnsi="Arial" w:eastAsia="Arial"/>
                <w:b w:val="0"/>
                <w:i w:val="0"/>
                <w:color w:val="000000"/>
                <w:sz w:val="20"/>
              </w:rPr>
              <w:t>рахувати тільки виконані проєкти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Державний попит</w:t>
            </w:r>
          </w:p>
        </w:tc>
        <w:tc>
          <w:tcPr>
            <w:tcW w:type="dxa" w:w="1559"/>
          </w:tcPr>
          <w:p>
            <w:pPr>
              <w:jc w:val="left"/>
            </w:pPr>
            <w:r/>
            <w:r>
              <w:rPr>
                <w:rFonts w:ascii="Arial" w:hAnsi="Arial" w:eastAsia="Arial"/>
                <w:b w:val="0"/>
                <w:i w:val="0"/>
                <w:color w:val="000000"/>
                <w:sz w:val="20"/>
              </w:rPr>
              <w:t>G</w:t>
            </w:r>
          </w:p>
        </w:tc>
        <w:tc>
          <w:tcPr>
            <w:tcW w:type="dxa" w:w="1559"/>
          </w:tcPr>
          <w:p>
            <w:pPr>
              <w:jc w:val="left"/>
            </w:pPr>
            <w:r/>
            <w:r>
              <w:rPr>
                <w:rFonts w:ascii="Arial" w:hAnsi="Arial" w:eastAsia="Arial"/>
                <w:b w:val="0"/>
                <w:i w:val="0"/>
                <w:color w:val="000000"/>
                <w:sz w:val="20"/>
              </w:rPr>
              <w:t>MINFIN__Ukraine_Budget_Full.xlsx</w:t>
            </w:r>
          </w:p>
        </w:tc>
        <w:tc>
          <w:tcPr>
            <w:tcW w:type="dxa" w:w="1559"/>
          </w:tcPr>
          <w:p>
            <w:pPr>
              <w:jc w:val="left"/>
            </w:pPr>
            <w:r/>
            <w:r>
              <w:rPr>
                <w:rFonts w:ascii="Arial" w:hAnsi="Arial" w:eastAsia="Arial"/>
                <w:b w:val="0"/>
                <w:i w:val="0"/>
                <w:color w:val="000000"/>
                <w:sz w:val="20"/>
              </w:rPr>
              <w:t>середній, якщо переходити у бюджетну модель</w:t>
            </w:r>
          </w:p>
        </w:tc>
        <w:tc>
          <w:tcPr>
            <w:tcW w:type="dxa" w:w="1559"/>
          </w:tcPr>
          <w:p>
            <w:pPr>
              <w:jc w:val="left"/>
            </w:pPr>
            <w:r/>
            <w:r>
              <w:rPr>
                <w:rFonts w:ascii="Arial" w:hAnsi="Arial" w:eastAsia="Arial"/>
                <w:b w:val="0"/>
                <w:i w:val="0"/>
                <w:color w:val="000000"/>
                <w:sz w:val="20"/>
              </w:rPr>
              <w:t>залишити як компонент ВВП</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Зовнішній сектор</w:t>
            </w:r>
          </w:p>
        </w:tc>
        <w:tc>
          <w:tcPr>
            <w:tcW w:type="dxa" w:w="1559"/>
          </w:tcPr>
          <w:p>
            <w:pPr>
              <w:jc w:val="left"/>
            </w:pPr>
            <w:r/>
            <w:r>
              <w:rPr>
                <w:rFonts w:ascii="Arial" w:hAnsi="Arial" w:eastAsia="Arial"/>
                <w:b w:val="0"/>
                <w:i w:val="0"/>
                <w:color w:val="000000"/>
                <w:sz w:val="20"/>
              </w:rPr>
              <w:t>NX</w:t>
            </w:r>
          </w:p>
        </w:tc>
        <w:tc>
          <w:tcPr>
            <w:tcW w:type="dxa" w:w="1559"/>
          </w:tcPr>
          <w:p>
            <w:pPr>
              <w:jc w:val="left"/>
            </w:pPr>
            <w:r/>
            <w:r>
              <w:rPr>
                <w:rFonts w:ascii="Arial" w:hAnsi="Arial" w:eastAsia="Arial"/>
                <w:b w:val="0"/>
                <w:i w:val="0"/>
                <w:color w:val="000000"/>
                <w:sz w:val="20"/>
              </w:rPr>
              <w:t>MINFIN__Ukraine_BoP.xlsx</w:t>
            </w:r>
          </w:p>
        </w:tc>
        <w:tc>
          <w:tcPr>
            <w:tcW w:type="dxa" w:w="1559"/>
          </w:tcPr>
          <w:p>
            <w:pPr>
              <w:jc w:val="left"/>
            </w:pPr>
            <w:r/>
            <w:r>
              <w:rPr>
                <w:rFonts w:ascii="Arial" w:hAnsi="Arial" w:eastAsia="Arial"/>
                <w:b w:val="0"/>
                <w:i w:val="0"/>
                <w:color w:val="000000"/>
                <w:sz w:val="20"/>
              </w:rPr>
              <w:t>високий, якщо змішати з платіжним балансом</w:t>
            </w:r>
          </w:p>
        </w:tc>
        <w:tc>
          <w:tcPr>
            <w:tcW w:type="dxa" w:w="1559"/>
          </w:tcPr>
          <w:p>
            <w:pPr>
              <w:jc w:val="left"/>
            </w:pPr>
            <w:r/>
            <w:r>
              <w:rPr>
                <w:rFonts w:ascii="Arial" w:hAnsi="Arial" w:eastAsia="Arial"/>
                <w:b w:val="0"/>
                <w:i w:val="0"/>
                <w:color w:val="000000"/>
                <w:sz w:val="20"/>
              </w:rPr>
              <w:t>передати повну логіку до зовнішнього блоку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Праця</w:t>
            </w:r>
          </w:p>
        </w:tc>
        <w:tc>
          <w:tcPr>
            <w:tcW w:type="dxa" w:w="1559"/>
          </w:tcPr>
          <w:p>
            <w:pPr>
              <w:jc w:val="left"/>
            </w:pPr>
            <w:r/>
            <w:r>
              <w:rPr>
                <w:rFonts w:ascii="Arial" w:hAnsi="Arial" w:eastAsia="Arial"/>
                <w:b w:val="0"/>
                <w:i w:val="0"/>
                <w:color w:val="000000"/>
                <w:sz w:val="20"/>
              </w:rPr>
              <w:t>C і потенційний випуск</w:t>
            </w:r>
          </w:p>
        </w:tc>
        <w:tc>
          <w:tcPr>
            <w:tcW w:type="dxa" w:w="1559"/>
          </w:tcPr>
          <w:p>
            <w:pPr>
              <w:jc w:val="left"/>
            </w:pPr>
            <w:r/>
            <w:r>
              <w:rPr>
                <w:rFonts w:ascii="Arial" w:hAnsi="Arial" w:eastAsia="Arial"/>
                <w:b w:val="0"/>
                <w:i w:val="0"/>
                <w:color w:val="000000"/>
                <w:sz w:val="20"/>
              </w:rPr>
              <w:t>Ukraine Human Capital; MINFIN__Ukraine_Labour_Market.xlsx</w:t>
            </w:r>
          </w:p>
        </w:tc>
        <w:tc>
          <w:tcPr>
            <w:tcW w:type="dxa" w:w="1559"/>
          </w:tcPr>
          <w:p>
            <w:pPr>
              <w:jc w:val="left"/>
            </w:pPr>
            <w:r/>
            <w:r>
              <w:rPr>
                <w:rFonts w:ascii="Arial" w:hAnsi="Arial" w:eastAsia="Arial"/>
                <w:b w:val="0"/>
                <w:i w:val="0"/>
                <w:color w:val="000000"/>
                <w:sz w:val="20"/>
              </w:rPr>
              <w:t>середній, якщо перераховувати робочі місця напряму</w:t>
            </w:r>
          </w:p>
        </w:tc>
        <w:tc>
          <w:tcPr>
            <w:tcW w:type="dxa" w:w="1559"/>
          </w:tcPr>
          <w:p>
            <w:pPr>
              <w:jc w:val="left"/>
            </w:pPr>
            <w:r/>
            <w:r>
              <w:rPr>
                <w:rFonts w:ascii="Arial" w:hAnsi="Arial" w:eastAsia="Arial"/>
                <w:b w:val="0"/>
                <w:i w:val="0"/>
                <w:color w:val="000000"/>
                <w:sz w:val="20"/>
              </w:rPr>
              <w:t>тримати як обмеження прогнозу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Ціна капіталу</w:t>
            </w:r>
          </w:p>
        </w:tc>
        <w:tc>
          <w:tcPr>
            <w:tcW w:type="dxa" w:w="1559"/>
          </w:tcPr>
          <w:p>
            <w:pPr>
              <w:jc w:val="left"/>
            </w:pPr>
            <w:r/>
            <w:r>
              <w:rPr>
                <w:rFonts w:ascii="Arial" w:hAnsi="Arial" w:eastAsia="Arial"/>
                <w:b w:val="0"/>
                <w:i w:val="0"/>
                <w:color w:val="000000"/>
                <w:sz w:val="20"/>
              </w:rPr>
              <w:t>I</w:t>
            </w:r>
          </w:p>
        </w:tc>
        <w:tc>
          <w:tcPr>
            <w:tcW w:type="dxa" w:w="1559"/>
          </w:tcPr>
          <w:p>
            <w:pPr>
              <w:jc w:val="left"/>
            </w:pPr>
            <w:r/>
            <w:r>
              <w:rPr>
                <w:rFonts w:ascii="Arial" w:hAnsi="Arial" w:eastAsia="Arial"/>
                <w:b w:val="0"/>
                <w:i w:val="0"/>
                <w:color w:val="000000"/>
                <w:sz w:val="20"/>
              </w:rPr>
              <w:t>MINFIN__Key_Rate.xlsx; NBU</w:t>
            </w:r>
          </w:p>
        </w:tc>
        <w:tc>
          <w:tcPr>
            <w:tcW w:type="dxa" w:w="1559"/>
          </w:tcPr>
          <w:p>
            <w:pPr>
              <w:jc w:val="left"/>
            </w:pPr>
            <w:r/>
            <w:r>
              <w:rPr>
                <w:rFonts w:ascii="Arial" w:hAnsi="Arial" w:eastAsia="Arial"/>
                <w:b w:val="0"/>
                <w:i w:val="0"/>
                <w:color w:val="000000"/>
                <w:sz w:val="20"/>
              </w:rPr>
              <w:t>низький, але високий ризик інтерпретації</w:t>
            </w:r>
          </w:p>
        </w:tc>
        <w:tc>
          <w:tcPr>
            <w:tcW w:type="dxa" w:w="1559"/>
          </w:tcPr>
          <w:p>
            <w:pPr>
              <w:jc w:val="left"/>
            </w:pPr>
            <w:r/>
            <w:r>
              <w:rPr>
                <w:rFonts w:ascii="Arial" w:hAnsi="Arial" w:eastAsia="Arial"/>
                <w:b w:val="0"/>
                <w:i w:val="0"/>
                <w:color w:val="000000"/>
                <w:sz w:val="20"/>
              </w:rPr>
              <w:t>використати як умову інвестиційного коридору</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Припущення, які тримають інерційну траєкторію</w:t>
      </w:r>
    </w:p>
    <w:p>
      <w:pPr>
        <w:jc w:val="both"/>
      </w:pPr>
      <w:r>
        <w:rPr>
          <w:rFonts w:ascii="Arial" w:hAnsi="Arial" w:eastAsia="Arial"/>
          <w:b w:val="0"/>
          <w:i w:val="0"/>
          <w:color w:val="000000"/>
          <w:sz w:val="24"/>
        </w:rPr>
        <w:t>Довгий прогноз до 2035 року потребує видимих припущень. [1] У цьому блоці припущення не приховані в моделі і не подаються як остаточні істини. Вони працюють як контрольні умови, які читач може перевірити: що має відбутися, щоб центральна інерційна траєкторія стала правдоподібною; що має зламатися, щоб траєкторія стала нижчою; і що має покращитися, щоб країна перейшла до сильнішого макроекономічного шляху.</w:t>
      </w:r>
    </w:p>
    <w:p>
      <w:pPr>
        <w:jc w:val="both"/>
      </w:pPr>
      <w:r>
        <w:rPr>
          <w:rFonts w:ascii="Arial" w:hAnsi="Arial" w:eastAsia="Arial"/>
          <w:b w:val="0"/>
          <w:i w:val="0"/>
          <w:color w:val="000000"/>
          <w:sz w:val="24"/>
        </w:rPr>
        <w:t>Припущення: Зовнішнє фінансування зберігає макрофінансову стабільність. МВФ є головним джерелом перевірки макрофінансової рамки: він не визначає довгий сценарій автоматично, але задає межі для інфляції, резервів, бюджетного фінансування і довіри. Якщо зовнішнє фінансування стає нестабільним, інерційна траєкторія ВВП має знижуватися через курс, інфляцію, очікування і меншу здатність держави підтримувати базові функції. [1]</w:t>
      </w:r>
    </w:p>
    <w:p>
      <w:pPr>
        <w:jc w:val="both"/>
      </w:pPr>
      <w:r>
        <w:rPr>
          <w:rFonts w:ascii="Arial" w:hAnsi="Arial" w:eastAsia="Arial"/>
          <w:b w:val="0"/>
          <w:i w:val="0"/>
          <w:color w:val="000000"/>
          <w:sz w:val="24"/>
        </w:rPr>
        <w:t xml:space="preserve">Припущення: Короткострокове зростання залишається помірним. Світовий банк дає корисний контроль для </w:t>
      </w:r>
      <w:hyperlink r:id="rId12">
        <w:r>
          <w:rPr>
            <w:rFonts w:ascii="Arial" w:hAnsi="Arial" w:eastAsia="Arial"/>
            <w:sz w:val="24"/>
            <w:color w:val="0000EE"/>
            <w:u w:val="single"/>
          </w:rPr>
          <w:t>2026-2028 років</w:t>
        </w:r>
      </w:hyperlink>
      <w:r>
        <w:rPr>
          <w:rFonts w:ascii="Arial" w:hAnsi="Arial" w:eastAsia="Arial"/>
          <w:b w:val="0"/>
          <w:i w:val="0"/>
          <w:color w:val="000000"/>
          <w:sz w:val="24"/>
        </w:rPr>
        <w:t>, тому що цей горизонт ще можна співвіднести з опублікованими прогнозами. Для 2030-2035 ці прогнози вже не повинні механічно продовжуватися. У цьому блоці вони виконують роль калібрування старту, а не замінюють сценарну дисципліну. [1]</w:t>
      </w:r>
    </w:p>
    <w:p>
      <w:pPr>
        <w:jc w:val="both"/>
      </w:pPr>
      <w:r>
        <w:rPr>
          <w:rFonts w:ascii="Arial" w:hAnsi="Arial" w:eastAsia="Arial"/>
          <w:b w:val="0"/>
          <w:i w:val="0"/>
          <w:color w:val="000000"/>
          <w:sz w:val="24"/>
        </w:rPr>
        <w:t>Припущення: Безпековий ризик не зникає повністю. ЄБРР показує, що припущення про тривалість війни і безпекову нормалізацію змінює темп зростання. В інерційному прогнозі ризик поступово пом’якшується, але не зникає настільки, щоб дати масове приватне інвестування, дешевий капітал і швидке розгортання відбудови. [1]</w:t>
      </w:r>
    </w:p>
    <w:p>
      <w:pPr>
        <w:jc w:val="both"/>
      </w:pPr>
      <w:r>
        <w:rPr>
          <w:rFonts w:ascii="Arial" w:hAnsi="Arial" w:eastAsia="Arial"/>
          <w:b w:val="0"/>
          <w:i w:val="0"/>
          <w:color w:val="000000"/>
          <w:sz w:val="24"/>
        </w:rPr>
        <w:t>Припущення: Структурні реформи просуваються, але не створюють швидкого стрибка продуктивності. Інерційна траєкторія припускає частковий прогрес без повного стрибка продуктивності. [1]</w:t>
      </w:r>
    </w:p>
    <w:p>
      <w:pPr>
        <w:jc w:val="both"/>
      </w:pPr>
      <w:r>
        <w:rPr>
          <w:rFonts w:ascii="Arial" w:hAnsi="Arial" w:eastAsia="Arial"/>
          <w:b w:val="0"/>
          <w:i w:val="0"/>
          <w:color w:val="000000"/>
          <w:sz w:val="24"/>
        </w:rPr>
        <w:t>Припущення: Монетарні умови залишаються стримувальними для частини інвестицій. НБУ потрібен не лише як джерело інфляції. Його прогнозна рамка показує, як ставка, інфляція, резерви, міжнародна допомога й очікування формують фінансові умови для бізнесу. Якщо капітал лишається дорогим, компонент I зростає повільніше, навіть коли потреби відбудови великі. [1]</w:t>
      </w:r>
    </w:p>
    <w:p>
      <w:pPr>
        <w:jc w:val="both"/>
      </w:pPr>
      <w:r>
        <w:rPr>
          <w:rFonts w:ascii="Arial" w:hAnsi="Arial" w:eastAsia="Arial"/>
          <w:b w:val="0"/>
          <w:i w:val="0"/>
          <w:color w:val="000000"/>
          <w:sz w:val="24"/>
        </w:rPr>
        <w:t>Припущення: Енергетична система поступово адаптується, але промислова електроенергія залишається обмеженням. Енергетичний канал у цьому блоці не є деталізацією енергетичного сектору. Він показує, що без стабільної та прийнятної за ціною електроенергії промисловість, будівництво, логістика і послуги працюють із нижчою продуктивністю. Це зменшує верхню межу інерційного ВВП. [1]</w:t>
      </w:r>
    </w:p>
    <w:p>
      <w:pPr>
        <w:jc w:val="both"/>
      </w:pPr>
      <w:r>
        <w:rPr>
          <w:rFonts w:ascii="Arial" w:hAnsi="Arial" w:eastAsia="Arial"/>
          <w:b w:val="0"/>
          <w:i w:val="0"/>
          <w:color w:val="000000"/>
          <w:sz w:val="24"/>
        </w:rPr>
        <w:t>Припущення: Промисловий експорт відновлюється нерівномірно. Світова сталева кон’юнктура і попит на промислову продукцію впливають на український NX, але український результат додатково обмежують безпека, логістика, енергія і модернізація. [1]</w:t>
      </w:r>
    </w:p>
    <w:p>
      <w:pPr>
        <w:jc w:val="both"/>
      </w:pPr>
      <w:r>
        <w:rPr>
          <w:rFonts w:ascii="Arial" w:hAnsi="Arial" w:eastAsia="Arial"/>
          <w:b w:val="0"/>
          <w:i w:val="0"/>
          <w:color w:val="000000"/>
          <w:sz w:val="24"/>
        </w:rPr>
        <w:t>Припущення: Європейські кліматичні правила підвищують вимоги до промислової модернізації. CBAM впливає на довгостроковий прогноз через вартість доступу до ринку, інвестиції в декарбонізацію і конкурентність енергоємних секторів. У слабшій інерції це обмеження знижує експортну маржу; у сильнішій траєкторії воно може перетворитися на мотив модернізації. [1]</w:t>
      </w:r>
    </w:p>
    <w:p>
      <w:pPr>
        <w:jc w:val="both"/>
      </w:pPr>
      <w:r>
        <w:rPr>
          <w:rFonts w:ascii="Arial" w:hAnsi="Arial" w:eastAsia="Arial"/>
          <w:b w:val="0"/>
          <w:i w:val="0"/>
          <w:color w:val="000000"/>
          <w:sz w:val="24"/>
        </w:rPr>
        <w:t>Припущення: Аграрний експорт залишається опорою, але не компенсує всю промислову втрату. Агропромисловість підтримує валютну виручку і частину доданої вартості, але макроекономічний міст не може покласти на неї компенсацію всіх промислових і демографічних обмежень. Для сильнішого ВВП потрібна переробка, логістика, енергія, промислове обладнання і більша внутрішня додана вартість. [1]</w:t>
      </w:r>
    </w:p>
    <w:p>
      <w:pPr>
        <w:jc w:val="both"/>
      </w:pPr>
      <w:r>
        <w:rPr>
          <w:rFonts w:ascii="Arial" w:hAnsi="Arial" w:eastAsia="Arial"/>
          <w:b w:val="0"/>
          <w:i w:val="0"/>
          <w:color w:val="000000"/>
          <w:sz w:val="24"/>
        </w:rPr>
        <w:t>Припущення: Відбудова переходить у виконання повільніше за масштаб потреб. Інерційна траєкторія припускає, що частина відбудови рухається, але швидкість виконання обмежена підготовкою проєктів, кадрами, матеріалами, енергією, безпекою і процедурами. [1]</w:t>
      </w:r>
    </w:p>
    <w:p>
      <w:pPr>
        <w:jc w:val="both"/>
      </w:pPr>
      <w:r>
        <w:rPr>
          <w:rFonts w:ascii="Arial" w:hAnsi="Arial" w:eastAsia="Arial"/>
          <w:b w:val="0"/>
          <w:i w:val="0"/>
          <w:color w:val="000000"/>
          <w:sz w:val="24"/>
        </w:rPr>
        <w:t>Припущення: Людський капітал залишається вузьким місцем. Якщо дефіцит кваліфікацій зберігається, навіть наявне фінансування не переходить швидко у продуктивний випуск. У цьому блоці це обмеження впливає на C, I та потенційну траєкторію ВВП. [1]</w:t>
      </w:r>
    </w:p>
    <w:p>
      <w:pPr>
        <w:jc w:val="both"/>
      </w:pPr>
      <w:r>
        <w:rPr>
          <w:rFonts w:ascii="Arial" w:hAnsi="Arial" w:eastAsia="Arial"/>
          <w:b w:val="0"/>
          <w:i w:val="0"/>
          <w:color w:val="000000"/>
          <w:sz w:val="24"/>
        </w:rPr>
        <w:t>Припущення: Бюджетний попит підтримує економіку, але не замінює приватну інвестиційну базу. Державний попит є важливою стабілізаційною умовою воєнної економіки. Однак довге зростання ВВП потребує переходу від стабілізаційного попиту до продуктивних інвестицій, приватного капіталу, експорту і модернізації. Тому V2 залишає G як компонент ВВП, але не перетворює його на бюджетну стратегію. [1]</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Припущення</w:t>
            </w:r>
          </w:p>
        </w:tc>
        <w:tc>
          <w:tcPr>
            <w:tcW w:type="dxa" w:w="1559"/>
          </w:tcPr>
          <w:p>
            <w:pPr>
              <w:jc w:val="left"/>
            </w:pPr>
            <w:r/>
            <w:r>
              <w:rPr>
                <w:rFonts w:ascii="Arial" w:hAnsi="Arial" w:eastAsia="Arial"/>
                <w:b/>
                <w:i w:val="0"/>
                <w:color w:val="000000"/>
                <w:sz w:val="20"/>
              </w:rPr>
              <w:t>Первинний канал</w:t>
            </w:r>
          </w:p>
        </w:tc>
        <w:tc>
          <w:tcPr>
            <w:tcW w:type="dxa" w:w="1559"/>
          </w:tcPr>
          <w:p>
            <w:pPr>
              <w:jc w:val="left"/>
            </w:pPr>
            <w:r/>
            <w:r>
              <w:rPr>
                <w:rFonts w:ascii="Arial" w:hAnsi="Arial" w:eastAsia="Arial"/>
                <w:b/>
                <w:i w:val="0"/>
                <w:color w:val="000000"/>
                <w:sz w:val="20"/>
              </w:rPr>
              <w:t>Як впливає на ВВП</w:t>
            </w:r>
          </w:p>
        </w:tc>
        <w:tc>
          <w:tcPr>
            <w:tcW w:type="dxa" w:w="1559"/>
          </w:tcPr>
          <w:p>
            <w:pPr>
              <w:jc w:val="left"/>
            </w:pPr>
            <w:r/>
            <w:r>
              <w:rPr>
                <w:rFonts w:ascii="Arial" w:hAnsi="Arial" w:eastAsia="Arial"/>
                <w:b/>
                <w:i w:val="0"/>
                <w:color w:val="000000"/>
                <w:sz w:val="20"/>
              </w:rPr>
              <w:t>Що змінює траєкторію вгору</w:t>
            </w:r>
          </w:p>
        </w:tc>
        <w:tc>
          <w:tcPr>
            <w:tcW w:type="dxa" w:w="1559"/>
          </w:tcPr>
          <w:p>
            <w:pPr>
              <w:jc w:val="left"/>
            </w:pPr>
            <w:r/>
            <w:r>
              <w:rPr>
                <w:rFonts w:ascii="Arial" w:hAnsi="Arial" w:eastAsia="Arial"/>
                <w:b/>
                <w:i w:val="0"/>
                <w:color w:val="000000"/>
                <w:sz w:val="20"/>
              </w:rPr>
              <w:t>Що знижує траєкторію</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стабільне зовнішнє фінансування</w:t>
            </w:r>
          </w:p>
        </w:tc>
        <w:tc>
          <w:tcPr>
            <w:tcW w:type="dxa" w:w="1559"/>
          </w:tcPr>
          <w:p>
            <w:pPr>
              <w:jc w:val="left"/>
            </w:pPr>
            <w:r/>
            <w:r>
              <w:rPr>
                <w:rFonts w:ascii="Arial" w:hAnsi="Arial" w:eastAsia="Arial"/>
                <w:b w:val="0"/>
                <w:i w:val="0"/>
                <w:color w:val="000000"/>
                <w:sz w:val="20"/>
              </w:rPr>
              <w:t>макрофінансова стабільність</w:t>
            </w:r>
          </w:p>
        </w:tc>
        <w:tc>
          <w:tcPr>
            <w:tcW w:type="dxa" w:w="1559"/>
          </w:tcPr>
          <w:p>
            <w:pPr>
              <w:jc w:val="left"/>
            </w:pPr>
            <w:r/>
            <w:r>
              <w:rPr>
                <w:rFonts w:ascii="Arial" w:hAnsi="Arial" w:eastAsia="Arial"/>
                <w:b w:val="0"/>
                <w:i w:val="0"/>
                <w:color w:val="000000"/>
                <w:sz w:val="20"/>
              </w:rPr>
              <w:t>підтримує курс, резерви, бюджет і очікування</w:t>
            </w:r>
          </w:p>
        </w:tc>
        <w:tc>
          <w:tcPr>
            <w:tcW w:type="dxa" w:w="1559"/>
          </w:tcPr>
          <w:p>
            <w:pPr>
              <w:jc w:val="left"/>
            </w:pPr>
            <w:r/>
            <w:r>
              <w:rPr>
                <w:rFonts w:ascii="Arial" w:hAnsi="Arial" w:eastAsia="Arial"/>
                <w:b w:val="0"/>
                <w:i w:val="0"/>
                <w:color w:val="000000"/>
                <w:sz w:val="20"/>
              </w:rPr>
              <w:t>передбачувані програми та швидке надходження коштів</w:t>
            </w:r>
          </w:p>
        </w:tc>
        <w:tc>
          <w:tcPr>
            <w:tcW w:type="dxa" w:w="1559"/>
          </w:tcPr>
          <w:p>
            <w:pPr>
              <w:jc w:val="left"/>
            </w:pPr>
            <w:r/>
            <w:r>
              <w:rPr>
                <w:rFonts w:ascii="Arial" w:hAnsi="Arial" w:eastAsia="Arial"/>
                <w:b w:val="0"/>
                <w:i w:val="0"/>
                <w:color w:val="000000"/>
                <w:sz w:val="20"/>
              </w:rPr>
              <w:t>затримки, умовність або нестача фінансування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часткова безпекова нормалізація</w:t>
            </w:r>
          </w:p>
        </w:tc>
        <w:tc>
          <w:tcPr>
            <w:tcW w:type="dxa" w:w="1559"/>
          </w:tcPr>
          <w:p>
            <w:pPr>
              <w:jc w:val="left"/>
            </w:pPr>
            <w:r/>
            <w:r>
              <w:rPr>
                <w:rFonts w:ascii="Arial" w:hAnsi="Arial" w:eastAsia="Arial"/>
                <w:b w:val="0"/>
                <w:i w:val="0"/>
                <w:color w:val="000000"/>
                <w:sz w:val="20"/>
              </w:rPr>
              <w:t>ризик і капітал</w:t>
            </w:r>
          </w:p>
        </w:tc>
        <w:tc>
          <w:tcPr>
            <w:tcW w:type="dxa" w:w="1559"/>
          </w:tcPr>
          <w:p>
            <w:pPr>
              <w:jc w:val="left"/>
            </w:pPr>
            <w:r/>
            <w:r>
              <w:rPr>
                <w:rFonts w:ascii="Arial" w:hAnsi="Arial" w:eastAsia="Arial"/>
                <w:b w:val="0"/>
                <w:i w:val="0"/>
                <w:color w:val="000000"/>
                <w:sz w:val="20"/>
              </w:rPr>
              <w:t>зменшує премію ризику та відкриває інвестиції</w:t>
            </w:r>
          </w:p>
        </w:tc>
        <w:tc>
          <w:tcPr>
            <w:tcW w:type="dxa" w:w="1559"/>
          </w:tcPr>
          <w:p>
            <w:pPr>
              <w:jc w:val="left"/>
            </w:pPr>
            <w:r/>
            <w:r>
              <w:rPr>
                <w:rFonts w:ascii="Arial" w:hAnsi="Arial" w:eastAsia="Arial"/>
                <w:b w:val="0"/>
                <w:i w:val="0"/>
                <w:color w:val="000000"/>
                <w:sz w:val="20"/>
              </w:rPr>
              <w:t>страхування ризиків і захист інфраструктури</w:t>
            </w:r>
          </w:p>
        </w:tc>
        <w:tc>
          <w:tcPr>
            <w:tcW w:type="dxa" w:w="1559"/>
          </w:tcPr>
          <w:p>
            <w:pPr>
              <w:jc w:val="left"/>
            </w:pPr>
            <w:r/>
            <w:r>
              <w:rPr>
                <w:rFonts w:ascii="Arial" w:hAnsi="Arial" w:eastAsia="Arial"/>
                <w:b w:val="0"/>
                <w:i w:val="0"/>
                <w:color w:val="000000"/>
                <w:sz w:val="20"/>
              </w:rPr>
              <w:t>нові удари або ескалація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енергетична адаптація</w:t>
            </w:r>
          </w:p>
        </w:tc>
        <w:tc>
          <w:tcPr>
            <w:tcW w:type="dxa" w:w="1559"/>
          </w:tcPr>
          <w:p>
            <w:pPr>
              <w:jc w:val="left"/>
            </w:pPr>
            <w:r/>
            <w:r>
              <w:rPr>
                <w:rFonts w:ascii="Arial" w:hAnsi="Arial" w:eastAsia="Arial"/>
                <w:b w:val="0"/>
                <w:i w:val="0"/>
                <w:color w:val="000000"/>
                <w:sz w:val="20"/>
              </w:rPr>
              <w:t>виробництво та витрати</w:t>
            </w:r>
          </w:p>
        </w:tc>
        <w:tc>
          <w:tcPr>
            <w:tcW w:type="dxa" w:w="1559"/>
          </w:tcPr>
          <w:p>
            <w:pPr>
              <w:jc w:val="left"/>
            </w:pPr>
            <w:r/>
            <w:r>
              <w:rPr>
                <w:rFonts w:ascii="Arial" w:hAnsi="Arial" w:eastAsia="Arial"/>
                <w:b w:val="0"/>
                <w:i w:val="0"/>
                <w:color w:val="000000"/>
                <w:sz w:val="20"/>
              </w:rPr>
              <w:t>зменшує перерви і стабілізує собівартість</w:t>
            </w:r>
          </w:p>
        </w:tc>
        <w:tc>
          <w:tcPr>
            <w:tcW w:type="dxa" w:w="1559"/>
          </w:tcPr>
          <w:p>
            <w:pPr>
              <w:jc w:val="left"/>
            </w:pPr>
            <w:r/>
            <w:r>
              <w:rPr>
                <w:rFonts w:ascii="Arial" w:hAnsi="Arial" w:eastAsia="Arial"/>
                <w:b w:val="0"/>
                <w:i w:val="0"/>
                <w:color w:val="000000"/>
                <w:sz w:val="20"/>
              </w:rPr>
              <w:t>ремонти, імпортна спроможність, розподілена генерація</w:t>
            </w:r>
          </w:p>
        </w:tc>
        <w:tc>
          <w:tcPr>
            <w:tcW w:type="dxa" w:w="1559"/>
          </w:tcPr>
          <w:p>
            <w:pPr>
              <w:jc w:val="left"/>
            </w:pPr>
            <w:r/>
            <w:r>
              <w:rPr>
                <w:rFonts w:ascii="Arial" w:hAnsi="Arial" w:eastAsia="Arial"/>
                <w:b w:val="0"/>
                <w:i w:val="0"/>
                <w:color w:val="000000"/>
                <w:sz w:val="20"/>
              </w:rPr>
              <w:t>дефіцит, високі тарифи, відключення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повільне виконання відбудови</w:t>
            </w:r>
          </w:p>
        </w:tc>
        <w:tc>
          <w:tcPr>
            <w:tcW w:type="dxa" w:w="1559"/>
          </w:tcPr>
          <w:p>
            <w:pPr>
              <w:jc w:val="left"/>
            </w:pPr>
            <w:r/>
            <w:r>
              <w:rPr>
                <w:rFonts w:ascii="Arial" w:hAnsi="Arial" w:eastAsia="Arial"/>
                <w:b w:val="0"/>
                <w:i w:val="0"/>
                <w:color w:val="000000"/>
                <w:sz w:val="20"/>
              </w:rPr>
              <w:t>I та виробництво</w:t>
            </w:r>
          </w:p>
        </w:tc>
        <w:tc>
          <w:tcPr>
            <w:tcW w:type="dxa" w:w="1559"/>
          </w:tcPr>
          <w:p>
            <w:pPr>
              <w:jc w:val="left"/>
            </w:pPr>
            <w:r/>
            <w:r>
              <w:rPr>
                <w:rFonts w:ascii="Arial" w:hAnsi="Arial" w:eastAsia="Arial"/>
                <w:b w:val="0"/>
                <w:i w:val="0"/>
                <w:color w:val="000000"/>
                <w:sz w:val="20"/>
              </w:rPr>
              <w:t>підтримує зростання, але не дає стрибка</w:t>
            </w:r>
          </w:p>
        </w:tc>
        <w:tc>
          <w:tcPr>
            <w:tcW w:type="dxa" w:w="1559"/>
          </w:tcPr>
          <w:p>
            <w:pPr>
              <w:jc w:val="left"/>
            </w:pPr>
            <w:r/>
            <w:r>
              <w:rPr>
                <w:rFonts w:ascii="Arial" w:hAnsi="Arial" w:eastAsia="Arial"/>
                <w:b w:val="0"/>
                <w:i w:val="0"/>
                <w:color w:val="000000"/>
                <w:sz w:val="20"/>
              </w:rPr>
              <w:t>готові проєкти, локалізація, матеріали</w:t>
            </w:r>
          </w:p>
        </w:tc>
        <w:tc>
          <w:tcPr>
            <w:tcW w:type="dxa" w:w="1559"/>
          </w:tcPr>
          <w:p>
            <w:pPr>
              <w:jc w:val="left"/>
            </w:pPr>
            <w:r/>
            <w:r>
              <w:rPr>
                <w:rFonts w:ascii="Arial" w:hAnsi="Arial" w:eastAsia="Arial"/>
                <w:b w:val="0"/>
                <w:i w:val="0"/>
                <w:color w:val="000000"/>
                <w:sz w:val="20"/>
              </w:rPr>
              <w:t>брак кадрів, процедурні затримки, імпортна залежність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людський капітал як обмеження</w:t>
            </w:r>
          </w:p>
        </w:tc>
        <w:tc>
          <w:tcPr>
            <w:tcW w:type="dxa" w:w="1559"/>
          </w:tcPr>
          <w:p>
            <w:pPr>
              <w:jc w:val="left"/>
            </w:pPr>
            <w:r/>
            <w:r>
              <w:rPr>
                <w:rFonts w:ascii="Arial" w:hAnsi="Arial" w:eastAsia="Arial"/>
                <w:b w:val="0"/>
                <w:i w:val="0"/>
                <w:color w:val="000000"/>
                <w:sz w:val="20"/>
              </w:rPr>
              <w:t>C, I, потенційний випуск</w:t>
            </w:r>
          </w:p>
        </w:tc>
        <w:tc>
          <w:tcPr>
            <w:tcW w:type="dxa" w:w="1559"/>
          </w:tcPr>
          <w:p>
            <w:pPr>
              <w:jc w:val="left"/>
            </w:pPr>
            <w:r/>
            <w:r>
              <w:rPr>
                <w:rFonts w:ascii="Arial" w:hAnsi="Arial" w:eastAsia="Arial"/>
                <w:b w:val="0"/>
                <w:i w:val="0"/>
                <w:color w:val="000000"/>
                <w:sz w:val="20"/>
              </w:rPr>
              <w:t>визначає верхню межу продуктивності</w:t>
            </w:r>
          </w:p>
        </w:tc>
        <w:tc>
          <w:tcPr>
            <w:tcW w:type="dxa" w:w="1559"/>
          </w:tcPr>
          <w:p>
            <w:pPr>
              <w:jc w:val="left"/>
            </w:pPr>
            <w:r/>
            <w:r>
              <w:rPr>
                <w:rFonts w:ascii="Arial" w:hAnsi="Arial" w:eastAsia="Arial"/>
                <w:b w:val="0"/>
                <w:i w:val="0"/>
                <w:color w:val="000000"/>
                <w:sz w:val="20"/>
              </w:rPr>
              <w:t>повернення людей, перекваліфікація, участь у праці</w:t>
            </w:r>
          </w:p>
        </w:tc>
        <w:tc>
          <w:tcPr>
            <w:tcW w:type="dxa" w:w="1559"/>
          </w:tcPr>
          <w:p>
            <w:pPr>
              <w:jc w:val="left"/>
            </w:pPr>
            <w:r/>
            <w:r>
              <w:rPr>
                <w:rFonts w:ascii="Arial" w:hAnsi="Arial" w:eastAsia="Arial"/>
                <w:b w:val="0"/>
                <w:i w:val="0"/>
                <w:color w:val="000000"/>
                <w:sz w:val="20"/>
              </w:rPr>
              <w:t>міграція, дефіцит спеціалістів, демографічне старіння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експортна логістика</w:t>
            </w:r>
          </w:p>
        </w:tc>
        <w:tc>
          <w:tcPr>
            <w:tcW w:type="dxa" w:w="1559"/>
          </w:tcPr>
          <w:p>
            <w:pPr>
              <w:jc w:val="left"/>
            </w:pPr>
            <w:r/>
            <w:r>
              <w:rPr>
                <w:rFonts w:ascii="Arial" w:hAnsi="Arial" w:eastAsia="Arial"/>
                <w:b w:val="0"/>
                <w:i w:val="0"/>
                <w:color w:val="000000"/>
                <w:sz w:val="20"/>
              </w:rPr>
              <w:t>NX</w:t>
            </w:r>
          </w:p>
        </w:tc>
        <w:tc>
          <w:tcPr>
            <w:tcW w:type="dxa" w:w="1559"/>
          </w:tcPr>
          <w:p>
            <w:pPr>
              <w:jc w:val="left"/>
            </w:pPr>
            <w:r/>
            <w:r>
              <w:rPr>
                <w:rFonts w:ascii="Arial" w:hAnsi="Arial" w:eastAsia="Arial"/>
                <w:b w:val="0"/>
                <w:i w:val="0"/>
                <w:color w:val="000000"/>
                <w:sz w:val="20"/>
              </w:rPr>
              <w:t>підтримує валютну виручку і попит</w:t>
            </w:r>
          </w:p>
        </w:tc>
        <w:tc>
          <w:tcPr>
            <w:tcW w:type="dxa" w:w="1559"/>
          </w:tcPr>
          <w:p>
            <w:pPr>
              <w:jc w:val="left"/>
            </w:pPr>
            <w:r/>
            <w:r>
              <w:rPr>
                <w:rFonts w:ascii="Arial" w:hAnsi="Arial" w:eastAsia="Arial"/>
                <w:b w:val="0"/>
                <w:i w:val="0"/>
                <w:color w:val="000000"/>
                <w:sz w:val="20"/>
              </w:rPr>
              <w:t>сталі коридори, порти, залізниця, страхування</w:t>
            </w:r>
          </w:p>
        </w:tc>
        <w:tc>
          <w:tcPr>
            <w:tcW w:type="dxa" w:w="1559"/>
          </w:tcPr>
          <w:p>
            <w:pPr>
              <w:jc w:val="left"/>
            </w:pPr>
            <w:r/>
            <w:r>
              <w:rPr>
                <w:rFonts w:ascii="Arial" w:hAnsi="Arial" w:eastAsia="Arial"/>
                <w:b w:val="0"/>
                <w:i w:val="0"/>
                <w:color w:val="000000"/>
                <w:sz w:val="20"/>
              </w:rPr>
              <w:t>блокування маршрутів і високі витрати</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Читання результату без надмірної точності</w:t>
      </w:r>
    </w:p>
    <w:p>
      <w:pPr>
        <w:jc w:val="both"/>
      </w:pPr>
      <w:r>
        <w:rPr>
          <w:rFonts w:ascii="Arial" w:hAnsi="Arial" w:eastAsia="Arial"/>
          <w:b w:val="0"/>
          <w:i w:val="0"/>
          <w:color w:val="000000"/>
          <w:sz w:val="24"/>
        </w:rPr>
        <w:t>V2 свідомо не подає довгий прогноз як точну одиничну цифру. [1] Для горизонту 2030-2035 одинична цифра створювала б хибну впевненість, тому що результат залежить від умов, які не контролюються лише економічною статистикою. Безпекова рамка, темп зовнішнього фінансування, енергетична доступність, повернення людей, вартість капіталу, страхування ризиків, логістика і виконання відбудови можуть змінити траєкторію швидше, ніж будь-яке механічне продовження короткострокового прогнозу. документ подає центральну інерційну лінію, базову траєкторію порівняння, caveat-и і формули, а не одну претензію на точне майбутнє.</w:t>
      </w:r>
    </w:p>
    <w:p>
      <w:pPr>
        <w:jc w:val="both"/>
      </w:pPr>
      <w:r>
        <w:rPr>
          <w:rFonts w:ascii="Arial" w:hAnsi="Arial" w:eastAsia="Arial"/>
          <w:b w:val="0"/>
          <w:i w:val="0"/>
          <w:color w:val="000000"/>
          <w:sz w:val="24"/>
        </w:rPr>
        <w:t>Цей підхід узгоджується з тим, що прогнози МВФ для України мають коротший макрофінансовий горизонт, тоді як довший період потребує сценарного продовження і публічно пояснених припущень. [1]</w:t>
      </w:r>
    </w:p>
    <w:p>
      <w:pPr>
        <w:jc w:val="both"/>
      </w:pPr>
      <w:r>
        <w:rPr>
          <w:rFonts w:ascii="Arial" w:hAnsi="Arial" w:eastAsia="Arial"/>
          <w:b w:val="0"/>
          <w:i w:val="0"/>
          <w:color w:val="000000"/>
          <w:sz w:val="24"/>
        </w:rPr>
        <w:t>Водночас прогнозна рамка НБУ корисна як внутрішній контроль інфляції, ставки, міжнародної допомоги та очікувань, але вона також не повинна механічно замінювати довгострокову траєкторію до 2035 року. [1]</w:t>
      </w:r>
    </w:p>
    <w:p>
      <w:pPr>
        <w:jc w:val="both"/>
      </w:pPr>
      <w:r>
        <w:rPr>
          <w:rFonts w:ascii="Arial" w:hAnsi="Arial" w:eastAsia="Arial"/>
          <w:b w:val="0"/>
          <w:i w:val="0"/>
          <w:color w:val="000000"/>
          <w:sz w:val="24"/>
        </w:rPr>
        <w:t>Індексний підхід має ще одну перевагу: [1] він дозволяє відділити реальну логіку випуску від курсу і номінальних цін. У гривневому вимірі ВВП може швидко збільшуватися через інфляцію, зміну дефлятора або курсовий ефект, тоді як у фізичному виробничому змісті економіка лишається нижче потрібної траєкторії.</w:t>
      </w:r>
    </w:p>
    <w:p>
      <w:pPr>
        <w:jc w:val="both"/>
      </w:pPr>
      <w:r>
        <w:rPr>
          <w:rFonts w:ascii="Arial" w:hAnsi="Arial" w:eastAsia="Arial"/>
          <w:b w:val="0"/>
          <w:i w:val="0"/>
          <w:color w:val="000000"/>
          <w:sz w:val="24"/>
        </w:rPr>
        <w:t>Якщо розрив виникає через енергію, рішення лежить у стабілізації системи, імпортній спроможності, ремонтах і розподіленій генерації. [1] Якщо розрив виникає через працю, потрібні повернення людей, перекваліфікація, мобільність і продуктивність. Якщо розрив виникає через капітал, потрібні страхування ризиків, довше фінансування і зрозумілі правила. Якщо розрив виникає через відбудову, потрібен перехід від потреб до виконаних проєктів. Так V2 перетворює ВВП з абстрактного показника на карту обмежень.</w:t>
      </w:r>
    </w:p>
    <w:p>
      <w:pPr>
        <w:jc w:val="both"/>
      </w:pPr>
      <w:r>
        <w:rPr>
          <w:rFonts w:ascii="Arial" w:hAnsi="Arial" w:eastAsia="Arial"/>
          <w:b w:val="0"/>
          <w:i w:val="0"/>
          <w:color w:val="000000"/>
          <w:sz w:val="24"/>
        </w:rPr>
        <w:t>Важливо розділяти відновлення до рівня 2021 року і повернення до траєкторії розвитку. [1] Перше означає наближення до останнього повного довоєнного масштабу, друге - компенсацію накопиченого розриву продуктивності, інвестицій і структурної складності.</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Елемент результату</w:t>
            </w:r>
          </w:p>
        </w:tc>
        <w:tc>
          <w:tcPr>
            <w:tcW w:type="dxa" w:w="2081"/>
          </w:tcPr>
          <w:p>
            <w:pPr>
              <w:jc w:val="left"/>
            </w:pPr>
            <w:r/>
            <w:r>
              <w:rPr>
                <w:rFonts w:ascii="Arial" w:hAnsi="Arial" w:eastAsia="Arial"/>
                <w:b/>
                <w:i w:val="0"/>
                <w:color w:val="000000"/>
                <w:sz w:val="20"/>
              </w:rPr>
              <w:t>Що означає</w:t>
            </w:r>
          </w:p>
        </w:tc>
        <w:tc>
          <w:tcPr>
            <w:tcW w:type="dxa" w:w="2081"/>
          </w:tcPr>
          <w:p>
            <w:pPr>
              <w:jc w:val="left"/>
            </w:pPr>
            <w:r/>
            <w:r>
              <w:rPr>
                <w:rFonts w:ascii="Arial" w:hAnsi="Arial" w:eastAsia="Arial"/>
                <w:b/>
                <w:i w:val="0"/>
                <w:color w:val="000000"/>
                <w:sz w:val="20"/>
              </w:rPr>
              <w:t>Що не означає</w:t>
            </w:r>
          </w:p>
        </w:tc>
        <w:tc>
          <w:tcPr>
            <w:tcW w:type="dxa" w:w="2081"/>
          </w:tcPr>
          <w:p>
            <w:pPr>
              <w:jc w:val="left"/>
            </w:pPr>
            <w:r/>
            <w:r>
              <w:rPr>
                <w:rFonts w:ascii="Arial" w:hAnsi="Arial" w:eastAsia="Arial"/>
                <w:b/>
                <w:i w:val="0"/>
                <w:color w:val="000000"/>
                <w:sz w:val="20"/>
              </w:rPr>
              <w:t>Як перевіряти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індекс 2021=100</w:t>
            </w:r>
          </w:p>
        </w:tc>
        <w:tc>
          <w:tcPr>
            <w:tcW w:type="dxa" w:w="2081"/>
          </w:tcPr>
          <w:p>
            <w:pPr>
              <w:jc w:val="left"/>
            </w:pPr>
            <w:r/>
            <w:r>
              <w:rPr>
                <w:rFonts w:ascii="Arial" w:hAnsi="Arial" w:eastAsia="Arial"/>
                <w:b w:val="0"/>
                <w:i w:val="0"/>
                <w:color w:val="000000"/>
                <w:sz w:val="20"/>
              </w:rPr>
              <w:t>порівнянний масштаб реального випуску</w:t>
            </w:r>
          </w:p>
        </w:tc>
        <w:tc>
          <w:tcPr>
            <w:tcW w:type="dxa" w:w="2081"/>
          </w:tcPr>
          <w:p>
            <w:pPr>
              <w:jc w:val="left"/>
            </w:pPr>
            <w:r/>
            <w:r>
              <w:rPr>
                <w:rFonts w:ascii="Arial" w:hAnsi="Arial" w:eastAsia="Arial"/>
                <w:b w:val="0"/>
                <w:i w:val="0"/>
                <w:color w:val="000000"/>
                <w:sz w:val="20"/>
              </w:rPr>
              <w:t>не є номінальним ВВП у гривні</w:t>
            </w:r>
          </w:p>
        </w:tc>
        <w:tc>
          <w:tcPr>
            <w:tcW w:type="dxa" w:w="2081"/>
          </w:tcPr>
          <w:p>
            <w:pPr>
              <w:jc w:val="left"/>
            </w:pPr>
            <w:r/>
            <w:r>
              <w:rPr>
                <w:rFonts w:ascii="Arial" w:hAnsi="Arial" w:eastAsia="Arial"/>
                <w:b w:val="0"/>
                <w:i w:val="0"/>
                <w:color w:val="000000"/>
                <w:sz w:val="20"/>
              </w:rPr>
              <w:t>через базовий рік, формулу і caveat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інерційна траєкторія</w:t>
            </w:r>
          </w:p>
        </w:tc>
        <w:tc>
          <w:tcPr>
            <w:tcW w:type="dxa" w:w="2081"/>
          </w:tcPr>
          <w:p>
            <w:pPr>
              <w:jc w:val="left"/>
            </w:pPr>
            <w:r/>
            <w:r>
              <w:rPr>
                <w:rFonts w:ascii="Arial" w:hAnsi="Arial" w:eastAsia="Arial"/>
                <w:b w:val="0"/>
                <w:i w:val="0"/>
                <w:color w:val="000000"/>
                <w:sz w:val="20"/>
              </w:rPr>
              <w:t>результат за часткового пом’якшення обмежень</w:t>
            </w:r>
          </w:p>
        </w:tc>
        <w:tc>
          <w:tcPr>
            <w:tcW w:type="dxa" w:w="2081"/>
          </w:tcPr>
          <w:p>
            <w:pPr>
              <w:jc w:val="left"/>
            </w:pPr>
            <w:r/>
            <w:r>
              <w:rPr>
                <w:rFonts w:ascii="Arial" w:hAnsi="Arial" w:eastAsia="Arial"/>
                <w:b w:val="0"/>
                <w:i w:val="0"/>
                <w:color w:val="000000"/>
                <w:sz w:val="20"/>
              </w:rPr>
              <w:t>не є бажаним сценарієм</w:t>
            </w:r>
          </w:p>
        </w:tc>
        <w:tc>
          <w:tcPr>
            <w:tcW w:type="dxa" w:w="2081"/>
          </w:tcPr>
          <w:p>
            <w:pPr>
              <w:jc w:val="left"/>
            </w:pPr>
            <w:r/>
            <w:r>
              <w:rPr>
                <w:rFonts w:ascii="Arial" w:hAnsi="Arial" w:eastAsia="Arial"/>
                <w:b w:val="0"/>
                <w:i w:val="0"/>
                <w:color w:val="000000"/>
                <w:sz w:val="20"/>
              </w:rPr>
              <w:t>через припущення і прогнозні якори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базова траєкторія</w:t>
            </w:r>
          </w:p>
        </w:tc>
        <w:tc>
          <w:tcPr>
            <w:tcW w:type="dxa" w:w="2081"/>
          </w:tcPr>
          <w:p>
            <w:pPr>
              <w:jc w:val="left"/>
            </w:pPr>
            <w:r/>
            <w:r>
              <w:rPr>
                <w:rFonts w:ascii="Arial" w:hAnsi="Arial" w:eastAsia="Arial"/>
                <w:b w:val="0"/>
                <w:i w:val="0"/>
                <w:color w:val="000000"/>
                <w:sz w:val="20"/>
              </w:rPr>
              <w:t>контрольне порівняння з довоєнним шляхом</w:t>
            </w:r>
          </w:p>
        </w:tc>
        <w:tc>
          <w:tcPr>
            <w:tcW w:type="dxa" w:w="2081"/>
          </w:tcPr>
          <w:p>
            <w:pPr>
              <w:jc w:val="left"/>
            </w:pPr>
            <w:r/>
            <w:r>
              <w:rPr>
                <w:rFonts w:ascii="Arial" w:hAnsi="Arial" w:eastAsia="Arial"/>
                <w:b w:val="0"/>
                <w:i w:val="0"/>
                <w:color w:val="000000"/>
                <w:sz w:val="20"/>
              </w:rPr>
              <w:t>не є фактично втраченим ВВП</w:t>
            </w:r>
          </w:p>
        </w:tc>
        <w:tc>
          <w:tcPr>
            <w:tcW w:type="dxa" w:w="2081"/>
          </w:tcPr>
          <w:p>
            <w:pPr>
              <w:jc w:val="left"/>
            </w:pPr>
            <w:r/>
            <w:r>
              <w:rPr>
                <w:rFonts w:ascii="Arial" w:hAnsi="Arial" w:eastAsia="Arial"/>
                <w:b w:val="0"/>
                <w:i w:val="0"/>
                <w:color w:val="000000"/>
                <w:sz w:val="20"/>
              </w:rPr>
              <w:t>через пояснення темпу і горизонту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кумулятивний розрив</w:t>
            </w:r>
          </w:p>
        </w:tc>
        <w:tc>
          <w:tcPr>
            <w:tcW w:type="dxa" w:w="2081"/>
          </w:tcPr>
          <w:p>
            <w:pPr>
              <w:jc w:val="left"/>
            </w:pPr>
            <w:r/>
            <w:r>
              <w:rPr>
                <w:rFonts w:ascii="Arial" w:hAnsi="Arial" w:eastAsia="Arial"/>
                <w:b w:val="0"/>
                <w:i w:val="0"/>
                <w:color w:val="000000"/>
                <w:sz w:val="20"/>
              </w:rPr>
              <w:t>сума річних відхилень у індексному поданні</w:t>
            </w:r>
          </w:p>
        </w:tc>
        <w:tc>
          <w:tcPr>
            <w:tcW w:type="dxa" w:w="2081"/>
          </w:tcPr>
          <w:p>
            <w:pPr>
              <w:jc w:val="left"/>
            </w:pPr>
            <w:r/>
            <w:r>
              <w:rPr>
                <w:rFonts w:ascii="Arial" w:hAnsi="Arial" w:eastAsia="Arial"/>
                <w:b w:val="0"/>
                <w:i w:val="0"/>
                <w:color w:val="000000"/>
                <w:sz w:val="20"/>
              </w:rPr>
              <w:t>не є фізичною шкодою</w:t>
            </w:r>
          </w:p>
        </w:tc>
        <w:tc>
          <w:tcPr>
            <w:tcW w:type="dxa" w:w="2081"/>
          </w:tcPr>
          <w:p>
            <w:pPr>
              <w:jc w:val="left"/>
            </w:pPr>
            <w:r/>
            <w:r>
              <w:rPr>
                <w:rFonts w:ascii="Arial" w:hAnsi="Arial" w:eastAsia="Arial"/>
                <w:b w:val="0"/>
                <w:i w:val="0"/>
                <w:color w:val="000000"/>
                <w:sz w:val="20"/>
              </w:rPr>
              <w:t>через формулу V2-F05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прогнозний коридор</w:t>
            </w:r>
          </w:p>
        </w:tc>
        <w:tc>
          <w:tcPr>
            <w:tcW w:type="dxa" w:w="2081"/>
          </w:tcPr>
          <w:p>
            <w:pPr>
              <w:jc w:val="left"/>
            </w:pPr>
            <w:r/>
            <w:r>
              <w:rPr>
                <w:rFonts w:ascii="Arial" w:hAnsi="Arial" w:eastAsia="Arial"/>
                <w:b w:val="0"/>
                <w:i w:val="0"/>
                <w:color w:val="000000"/>
                <w:sz w:val="20"/>
              </w:rPr>
              <w:t>діапазон чутливості до умов</w:t>
            </w:r>
          </w:p>
        </w:tc>
        <w:tc>
          <w:tcPr>
            <w:tcW w:type="dxa" w:w="2081"/>
          </w:tcPr>
          <w:p>
            <w:pPr>
              <w:jc w:val="left"/>
            </w:pPr>
            <w:r/>
            <w:r>
              <w:rPr>
                <w:rFonts w:ascii="Arial" w:hAnsi="Arial" w:eastAsia="Arial"/>
                <w:b w:val="0"/>
                <w:i w:val="0"/>
                <w:color w:val="000000"/>
                <w:sz w:val="20"/>
              </w:rPr>
              <w:t>не є математичною ймовірністю</w:t>
            </w:r>
          </w:p>
        </w:tc>
        <w:tc>
          <w:tcPr>
            <w:tcW w:type="dxa" w:w="2081"/>
          </w:tcPr>
          <w:p>
            <w:pPr>
              <w:jc w:val="left"/>
            </w:pPr>
            <w:r/>
            <w:r>
              <w:rPr>
                <w:rFonts w:ascii="Arial" w:hAnsi="Arial" w:eastAsia="Arial"/>
                <w:b w:val="0"/>
                <w:i w:val="0"/>
                <w:color w:val="000000"/>
                <w:sz w:val="20"/>
              </w:rPr>
              <w:t>через нижню, центральну і верхню логіку</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Саме ця комбінація відрізняє макроекономічний міст від звичайної прогнозної таблиці. [1] Вона показує, де закінчується статистика, де починається сценарне припущення і які рішення можуть змінити траєкторію до 2035 року.</w:t>
      </w:r>
    </w:p>
    <w:p>
      <w:pPr>
        <w:pStyle w:val="Heading1"/>
      </w:pPr>
      <w:r>
        <w:rPr>
          <w:rFonts w:ascii="Arial" w:hAnsi="Arial" w:eastAsia="Arial"/>
          <w:b/>
          <w:i w:val="0"/>
          <w:color w:val="000000"/>
          <w:sz w:val="44"/>
        </w:rPr>
        <w:t>Висновок</w:t>
      </w:r>
    </w:p>
    <w:p>
      <w:pPr>
        <w:jc w:val="both"/>
      </w:pPr>
      <w:r>
        <w:rPr>
          <w:rFonts w:ascii="Arial" w:hAnsi="Arial" w:eastAsia="Arial"/>
          <w:b w:val="0"/>
          <w:i w:val="0"/>
          <w:color w:val="000000"/>
          <w:sz w:val="24"/>
        </w:rPr>
        <w:t>V2 фіксує макроекономічний міст між секторною доказовою базою і національною траєкторією випуску. [1] Його результат - це не повний сценарний звіт, не бюджетна модель, не платіжний баланс і не таблиця фізичних втрат. Його результат - перевірна рамка ВВП: стартова точка 2020-2025, три погляди на національні рахунки, інерційна траєкторія до 2035 року, компонентне читання C/I/G/NX, порівняння з базою 2021 року, кумулятивний індексний розрив і caveat-и зіставності.</w:t>
      </w:r>
    </w:p>
    <w:p>
      <w:pPr>
        <w:jc w:val="both"/>
      </w:pPr>
      <w:r>
        <w:rPr>
          <w:rFonts w:ascii="Arial" w:hAnsi="Arial" w:eastAsia="Arial"/>
          <w:b w:val="0"/>
          <w:i w:val="0"/>
          <w:color w:val="000000"/>
          <w:sz w:val="24"/>
        </w:rPr>
        <w:t>Ця рамка потрібна для відповідального публічного читання прогнозу. [1] Якщо ці канали залишаються частково заблокованими, країна може зростати, але продовжувати втрачати частину потенційної траєкторії. Якщо вони синхронізуються, цей самий макроекономічний міст ВВП стає інструментом для перевірки сильнішого сценарію.</w:t>
      </w:r>
    </w:p>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макроекономічному мосту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[5]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[6]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[7]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[8]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[9]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[10]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[11]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[12]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[13]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oecd.org/en/topics/sub-issues/economic-surveys/ukraine-economic-snapshot.html" TargetMode="External"/><Relationship Id="rId10" Type="http://schemas.openxmlformats.org/officeDocument/2006/relationships/hyperlink" Target="https://www.ebrd.com/home/news-and-events/news/2026/ukraine-maintains-macroeconomic-stability-despite-war---ebrd-rep.html" TargetMode="External"/><Relationship Id="rId11" Type="http://schemas.openxmlformats.org/officeDocument/2006/relationships/hyperlink" Target="https://bank.gov.ua/admin_uploads/article/IR_2026-Q2_summary_en.pdf?v=17" TargetMode="External"/><Relationship Id="rId12" Type="http://schemas.openxmlformats.org/officeDocument/2006/relationships/hyperlink" Target="https://documents1.worldbank.org/curated/en/099022026094036395/pdf/P514499-22f93f3a-4278-42bc-b907-db9553d120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