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 w:after="200"/>
        <w:jc w:val="left"/>
      </w:pPr>
      <w:r>
        <w:rPr>
          <w:rFonts w:ascii="Arial" w:hAnsi="Arial" w:eastAsia="Arial"/>
          <w:b/>
          <w:i w:val="0"/>
          <w:color w:val="000000"/>
          <w:sz w:val="56"/>
        </w:rPr>
        <w:t>Бюджетні та боргові наслідки реіндустріалізації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У бюджетно-боргових наслідках вже видно межу між адаптацією і новим циклом зростання. [1] Далі вирішальними стають швидкість виконання, ціна затримки і здатність утримувати матеріальний результат під воєнним тиском.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Державні рішення тут одночасно працюють з бюджетним обмеженням, безпековим ризиком і потребою зберегти довший горизонт дії. [2] Від цього залежить, які кроки дають короткий ефект, а які створюють нову спроможність на роки вперед.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Капітал заходить туди, де видно керований контур виконання, межу ризику і шлях повернення грошей. [3]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Фахівці, підприємці, виробничі команди і люди, що повертаються до цивільної економіки, шукають робочу базу, стабільний дохід, сучасні виробництва і зрозумілу перспективу професійної реалізації. [4] На цьому тримається довший кадровий ресурс для зростання.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Воєнний горизонт лишається над усією економічною рамкою. [5] Країна одночасно тримає фронт, підтримує тил, готує повернення військових до цивільного життя і шукає ресурс для нового циклу розвитку, тому далі важливо побачити керовані точки зміни.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Фіскальний міст реіндустріалізації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Фіскальний міст потрібен для того, щоб промислова політика оцінювалася як система майбутніх бюджетних потоків. [6] Виробництво, прибуток, ПДВ, податки на працю, митні платежі, соціальні витрати, дефіцит і борг мають різні часові лаги.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У воєнній економіці проста теза “більше виробництва - більше доходів” недостатня. [7] Додатковий випуск створює податковий ефект лише тоді, коли він переходить у офіційні продажі, прибутковість, зарплати, імпорт обладнання або комплектуючих, місцеві податки та експортну виручку.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Макрофінансова рамка показує, що Україна одночасно працює з високими бюджетними потребами, зовнішньою підтримкою, боргом і ризиком слабкого приватного інвестування. [8] Світовий банк у макроекономічному прогнозному контурі поєднує ВВП, фіскальний баланс, борг і зайнятість, а сторінка України в МВФ задає програмний контекст зовнішнього фінансування.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Його функція вужча: показати, за яких умов промислова база переходить у доходи бюджету, як слабка зайнятість посилює соціальний видатковий тиск, чому дефіцит стає наслідком різниці між доходами і видатками, і як борг до ВВП залежить від обох частин дробу. [9]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Призначення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Пояснює, як промислові рішення перетворюються на бюджетні й боргові наслідки.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Вхідні індикатори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Випуск, додана вартість, прибуток, ПДВ, податки на працю, соціальні витрати, доходи й видатки бюджету, дефіцит, борг, ВВП.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Правило інтерпретації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Кожен промисловий канал оцінюється через дохід, видаток, лаг, ризик і джерело даних.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Правило джерел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Публічні твердження прив’язуються до навігаційних джерел [S###] або до нормалізованих V3-TAX-джерел.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Застереження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Фіскальний ефект не дорівнює автоматично виробничому приросту; потрібні прибутковість, формалізація і стабільна база.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Інтерпретація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Реіндустріалізація створює фіскальну спроможність, коли повторювані доходи перевищують витрати і стимули.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Бюджетно-боргова стартова точка 2020-2025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Стартова точка цього блоку охоплює 2020-2025 роки, тому що саме цей період показує перехід від довоєнної бюджетної рівноваги до воєнної структури видатків і боргу. [2] За даними бюджетного ряду, видатки державного бюджету у 2025 році досягли </w:t>
      </w:r>
      <w:hyperlink r:id="rId9">
        <w:r>
          <w:rPr>
            <w:rFonts w:ascii="Arial" w:hAnsi="Arial" w:eastAsia="Arial"/>
            <w:sz w:val="24"/>
            <w:color w:val="0000EE"/>
            <w:u w:val="single"/>
          </w:rPr>
          <w:t>5,47 т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>рлн грн, а доходи - 3,83 трлн грн; дефіцит державного бюджету становив близько 1,64 трлн грн.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Борговий контур рухався ще різкіше. [3] Державний і гарантований державою борг у гривневому вимірі зріс із </w:t>
      </w:r>
      <w:hyperlink r:id="rId10">
        <w:r>
          <w:rPr>
            <w:rFonts w:ascii="Arial" w:hAnsi="Arial" w:eastAsia="Arial"/>
            <w:sz w:val="24"/>
            <w:color w:val="0000EE"/>
            <w:u w:val="single"/>
          </w:rPr>
          <w:t>2,67 т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>рлн грн у 2021 році до 9,04 трлн грн у 2025 році, а відношення боргу до ВВП у гривневій оцінці перейшло від близько 48,9% до понад 100%.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Цей зсув не означає втрату фіскальної керованості сам по собі. [4] Він означає, що подальша промислова політика повинна читатися разом із дефіцитом, грантами, відсотковими витратами, курсом і ВВП. Ключова ставка НБУ і міжнародні резерви доповнюють цю рамку, оскільки вони впливають на вартість фінансування, валютну стабільність і довіру інвесторів.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Фіскальна стартова точка також містить прихований соціальний блок. [5] Офіційна реєстрація безробіття після 2022 року не відображає всю глибину ринку праці, тому соціальний видатковий тиск потребує окремої оцінки через населення, економічну активність, міграцію, ВПО і втрату людського капіталу. Ринок праці України у макроданих дає лише один з шарів цього виміру.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Рік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Доходи держбюджету, трлн грн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Видатки держбюджету, трлн грн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Дефіцит держбюджету, трлн грн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Борг, трлн грн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Борг/ВВП</w:t>
            </w:r>
          </w:p>
        </w:tc>
        <w:tc>
          <w:tcPr>
            <w:tcW w:type="dxa" w:w="794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2020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1,1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1,3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0,2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2,6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60,8%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2021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1,3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1,5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0,2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2,7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48,9%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2022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1,8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2,7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0,9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4,1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78,4%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2023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2,7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4,0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1,3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5,5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84,4%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2024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3,1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4,5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1,4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7,0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91,2%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2025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3,8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5,5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1,6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9,0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101,2%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Призначення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Фіксує стартовий фіскальний стан перед прогнозним горизонтом 2030-2035.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Вхідні індикатори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Доходи, видатки, дефіцит, зведений бюджет, державний борг, борг/ВВП, номінальний ВВП.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Правило розрахунку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Показники читаються у фактичних гривнях; відносні показники нормуються до ВВП там, де це потрібно для боргової оцінки.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Правило джерел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Бюджет: ; борг: ; ВВП.: MINFIN_Ukraine_GDP.xlsx; MINFIN___Ukraine_State_Debt_2009_2026.xlsx; MINFIN__Ukraine_Budget_Full.xlsx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Застереження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Номінальне зростання доходів містить інфляцію, зовнішню допомогу і воєнну структуру доходів.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Інтерпретація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Від 2022 року бюджет став системою воєнного фінансування, а не лише річним планом доходів і видатків.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Візуалізація бюджетного та боргового тиску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580000" cy="320462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3_legacy_4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2046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rFonts w:ascii="Arial" w:hAnsi="Arial" w:eastAsia="Arial"/>
          <w:b w:val="0"/>
          <w:i w:val="0"/>
          <w:color w:val="000000"/>
          <w:sz w:val="22"/>
        </w:rPr>
        <w:t>Бюджетно-боргова стартова точка України, 2020-2025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Навігаційний ID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V3-FIG01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Назва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Державний бюджет України: доходи, видатки і дефіцит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Джерела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MINFIN_Ukraine_GDP.xlsx; MINFIN__Ukraine_Budget_Full.xlsx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Період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2020-2025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Одиниця виміру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трлн грн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Методична примітка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Доходи, видатки і дефіцит перераховано у трлн грн для читабельності.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Підтримане твердження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Воєнна структура бюджету створює широкий розрив між доходами і видатками.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Застереження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Номінальні гривневі значення не відокремлюють інфляційний ефект.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Навігаційний ID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V3-FIG02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Назва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Державний і гарантований борг: рівень та відношення до ВВП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Джерела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MINFIN_Ukraine_GDP.xlsx; MINFIN___Ukraine_State_Debt_2009_2026.xlsx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Період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2020-2025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Одиниця виміру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трлн грн; % ВВП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Методична примітка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Борг/ВВП показує одночасно борговий чисельник і ВВП-деномінатор.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Підтримане твердження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Боргове навантаження погіршується через нові запозичення і слабкий ВВП.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Застереження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Показник чутливий до номінального ВВП, курсу та зовнішньої підтримки.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Податковий канал промисловості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Для бюджету важливо, чи створює підприємство додану вартість, офіційні продажі, прибуток, фонд оплати праці, імпортні операції, локальні податки і повторюваний попит на суміжні послуги. [1]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Українська податкова рамка не зводиться до радикально низької ставки. [1] Стандартна ставка податку на прибуток підприємств становить </w:t>
      </w:r>
      <w:hyperlink r:id="rId12">
        <w:r>
          <w:rPr>
            <w:rFonts w:ascii="Arial" w:hAnsi="Arial" w:eastAsia="Arial"/>
            <w:sz w:val="24"/>
            <w:color w:val="0000EE"/>
            <w:u w:val="single"/>
          </w:rPr>
          <w:t>18%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>, а базовий ПДВ-контур має ставки 20%, 14%, 7% і 0% залежно від операції.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З цього випливає практичний критерій для промислових стимулів: [1] ставка або пільга працює на фіскальну спроможність лише тоді, коли вона запускає інвестицію, збільшує офіційні продажі, підвищує зарплатну базу і створює майбутній податковий потік. Національна стратегія доходів до 2030 року задає для цього рамку реформи податкової та митної систем.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Міжнародне середовище також обмежує прості податкові канікули. [1] OECD аналізує податкові стимули в умовах глобальної мінімальної ставки, а база інвестиційних податкових стимулів OECD показує потребу в таргетуванні, умовах доступу та вимірюванні результатів.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Канал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Фіскальний зміст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Потрібний промисловий тригер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Основні джерела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Ключове застереження</w:t>
            </w:r>
          </w:p>
        </w:tc>
        <w:tc>
          <w:tcPr>
            <w:tcW w:type="dxa" w:w="794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ПДВ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Потік від внутрішніх продажів, імпорту, переробки і відшкодування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Офіційні продажі, платоспроможний попит, імпорт обладнання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V3-TAX-: Wikipedia; STAT_ВВП_за_методом_кінцевого_використання.xlsx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ПДВ може створювати ліквіднісний тиск через відшкодування і часові лаги.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Податок на прибуток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Потік від прибуткових підприємств і груп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Операційна маржа, енергоефективність, експорт, локалізація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V3-TAX-: Metinvest (офіційний сайт); STAT_ВВП_за_розподільчим_методом.xlsx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У збиткових або високоризикових секторах ставка сама по собі не створює надходжень.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Податки на працю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ПДФО, військовий збір, соціальні внески, місцевий ефект зарплат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Формальна зайнятість, повернення кадрів, зарплатна база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Ukraine Human Capital; MINFIN__Ukraine_Labour_Market.xlsx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Тінізація або дефіцит кадрів зменшують фіскальний ефект.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Митні платежі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Потік від імпорту обладнання, сировини, компонентів і експорту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Капітальні інвестиції, модернізація, виробничі ланцюги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V3-TAX-, V3-TAX-: Dragon Capital; NV Бізнес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Пільговий імпорт обладнання може зменшити короткий дохід, але підвищити довгий фіскальний потік.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Місцеві податки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Плата за землю, майно, місцеві збори, регіональна зайнятість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Розміщення виробництва, індустріальні парки, регіональна інфраструктура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V3-TAX-: Good Time Invest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Регіональна підтримка повинна бути пов’язана з інвестиціями й зайнятістю.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Формула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Промисловий податковий потік = ПДВ + податок на прибуток + податки на працю + митні платежі + інші пов’язані платежі.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ПДВ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Податок на додану вартість, пов’язаний із внутрішніми продажами, імпортом і відшкодуванням.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Податок на прибуток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Фіскальний потік від прибуткових підприємств, що мають позитивний фінансовий результат.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Податки на працю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ПДФО, військовий збір і соціальні внески, якщо вони враховуються у відповідному бюджетному контурі.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Митні платежі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Податковий канал імпорту обладнання, сировини, комплектуючих або експорту, залежно від операції.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Інтерпретація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Формула показує не один податок, а сукупний повторюваний потік від промислової активності.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Призначення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Пояснює перехід від секторного випуску до конкретних бюджетних каналів.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Вхідні індикатори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Обсяг виробництва, реалізація, прибуток, фонд оплати праці, імпорт, експорт, локалізація.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Правило інтерпретації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Виробничий приріст вважається фіскальним приростом лише після переходу у формальні операції та податкові бази.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Правило джерел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ВВП і додана вартість: , ; податкова рамка: V3-TAX-, V3-TAX-, V3-TAX-.: Dragon Capital; Metinvest (офіційний сайт); Wikipedia; STAT_ВВП_за_виробничим_методом.xlsx; STAT_ВВП_за_розподільчим_методом.xlsx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Застереження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Номінальний оборот без прибутку, формальної зайнятості або стабільного ПДВ-потоку не дає повного фіскального ефекту.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Інтерпретація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Податковий ефект промисловості залежить від структури бізнес-моделі, а не лише від фізичного випуску.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Соціальні витрати і ринок праці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Соціальний видатковий канал визначає нижню межу фіскального ефекту. [1] Якщо промисловість не поглинає робочу силу, бюджет отримує слабший податковий потік і одночасно несе вищі витрати на підтримку домогосподарств, безробіття, ВПО, перекваліфікацію та соціальні програми.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Макроряд ринку праці дає зареєстрований контур, а KSE Human Capital Chartbook і UNDP costing of human-capital losses допомагають пояснити ширшу втрату людського капіталу. [1]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Міграція і тимчасовий захист створюють подвійний ефект для бюджету: [1] менше людей у формальній економіці всередині країни зменшує податкову базу, а повернення без працевлаштування може збільшити соціальні витрати. Євростат веде статистику тимчасового захисту українців у ЄС, а UNHCR підтримує оперативний контур даних щодо біженців і повернення.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Для цього блоку ключовий механізм такий: [1] кожне формальне робоче місце зменшує фіскальний тиск у двох напрямах - додає податки на працю і зменшує ризик соціальної підтримки. Це перетворює політику зайнятості на частину бюджетної політики, а не на окрему соціальну тему.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Показник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Оцінка / стан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Фіскальний канал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Джерела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Застереження</w:t>
            </w:r>
          </w:p>
        </w:tc>
        <w:tc>
          <w:tcPr>
            <w:tcW w:type="dxa" w:w="794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Зареєстроване безробіття, 2025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88,3 тис. осіб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Адміністративний контур підтримки та обліку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MINFIN__Ukraine_Labour_Market.xlsx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Не відображає повний масштаб неформальної незайнятості.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Оцінка безробіття за ширшим контуром, 2025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512-912 тис. осіб у наявних оцінках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Потенційний тиск на підтримку, перекваліфікацію і втрату податків на працю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Ukraine Human Capital; MINFIN__Ukraine_Labour_Market.xlsx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Оцінки залежать від населення і методики ринку праці.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Тимчасовий захист у ЄС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Мільйони українців у європейському контурі захисту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Зменшення внутрішньої трудової бази; ризик/резерв повернення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UNHCR; Eurostat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Повернення залежить від безпеки, житла, праці та шкіл.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Втрати людського капіталу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Фінансово значущий довгий тиск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Менші майбутні доходи, продуктивність і податкова база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Financial Costing of; Ukraine Human Capital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Людський капітал не перетворюється на бюджетний ряд прямо; потрібна обережна інтерпретація.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Формальне робоче місце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Позитивний фіскальний вузол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ПДФО, соціальні внески, місцевий попит, менший соціальний тиск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STAT_ВВП_за_розподільчим_методом.xlsx; MINFIN__Ukraine_Labour_Market.xlsx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Ефект залежить від зарплати, формальності і тривалості роботи.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Формула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Соціальний видатковий тиск = допомога безробітним + підтримка ВПО + перекваліфікація + житлова/соціальна підтримка + втрати податків на працю.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Допомога безробітним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Прямий видатковий канал, пов’язаний із реєстрацією та програмами підтримки.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Підтримка ВПО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Видатки на домогосподарства, житло, інтеграцію і базову соціальну підтримку.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Перекваліфікація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Інвестиція у повернення людини до продуктивної зайнятості.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Втрати податків на працю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Фіскальний дохід, який не виникає через відсутність формальної роботи.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Інтерпретація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Соціальний тиск зменшується не тільки через скорочення видатків, а через формальне працевлаштування.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Призначення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Пояснює, як ринок праці і людський капітал переходять у видатковий та доходний бюджетний канал.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Вхідні індикатори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Безробіття, реєстрація безробітних, ВПО, міграція, зарплати, формальна зайнятість, потреба у перекваліфікації.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Правило інтерпретації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Соціальний тиск читається як сума прямих видатків і втраченої податкової бази від слабкої зайнятості.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Правило джерел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Ринок праці: ; людський капітал: , ; міграція та захист: , .: UNHCR; Financial Costing of; Eurostat; Ukraine Human Capital; MINFIN__Ukraine_Labour_Market.xlsx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Застереження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Адміністративні показники не відображають усю незайнятість, тому використовуються кілька джерел і обережна інтерпретація.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Інтерпретація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Найсильніше фіскальне зниження соціального тиску виникає через формальні робочі місця, а не лише через скорочення програм підтримки.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Призначення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Показує подвійний фіскальний ефект зайнятості.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Вхідні індикатори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Кількість зайнятих, зарплата, безробіття, ВПО, міграція, податки на працю, соціальні програми.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Правило інтерпретації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Формальна робота одночасно підвищує доходи бюджету і знижує потребу в підтримці.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Правило джерел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Ринок праці: ; людський капітал: , ; міграція і захист: , .: UNHCR; Financial Costing of; Eurostat; Ukraine Human Capital; MINFIN__Ukraine_Labour_Market.xlsx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Застереження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Адміністративна реєстрація безробіття не дорівнює повній економічній незайнятості.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Інтерпретація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Промислова політика з вимогою формальних робочих місць має сильніший фіскальний профіль, ніж капіталомісткий стимул без зайнятості.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Дефіцит бюджету як наслідковий показник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Дефіцит у цьому блоці читається як наслідок трьох сил: [1] поточного воєнного видаткового навантаження, здатності економіки створювати доходи і структури зовнішньої підтримки. У 2025 році дефіцит державного бюджету у бюджетному ряді перевищив </w:t>
      </w:r>
      <w:hyperlink r:id="rId12">
        <w:r>
          <w:rPr>
            <w:rFonts w:ascii="Arial" w:hAnsi="Arial" w:eastAsia="Arial"/>
            <w:sz w:val="24"/>
            <w:color w:val="0000EE"/>
            <w:u w:val="single"/>
          </w:rPr>
          <w:t>1,6 т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>рлн грн, що показує масштаб розриву між доходами і видатками.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Фіскальний ефект реіндустріалізації не проявляється миттєво. [1] На першому етапі держава може мати додаткові витрати або втрату короткого доходу через гарантії, компенсації, податкові стимули, гранти, інфраструктуру чи програми зайнятості. На другому етапі з’являються податкові потоки.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Світовий банк у документі щодо операції підтримки зростання пов’язує фіскальний прогноз з податковими доходами, реформою доходів і грантовим/борговим фінансуванням. [1] Прогноз дефіциту без грантів і податкових доходів у цьому документі підтверджує, що доходи бюджету і зовнішня підтримка повинні читатися разом.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Практичний висновок для цього блоку: [1] промислова програма погіршує дефіцит, якщо вона перетворюється на постійний видаток без продуктивного активу. Вона покращує дефіцитний профіль, якщо створює податкову базу, зайнятість і експортний потік швидше, ніж накопичуються витрати та гарантійні ризики.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Елемент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Збільшує дефіцит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Зменшує дефіцит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Основний часовий лаг</w:t>
            </w:r>
          </w:p>
        </w:tc>
        <w:tc>
          <w:tcPr>
            <w:tcW w:type="dxa" w:w="794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Капітальна підтримка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Гранти, компенсації, гарантії, інфраструктура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Майбутній випуск і податковий потік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1-5 років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Податкові стимули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Тимчасова втрата доходів або відкладене оподаткування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Інвестиції, прибуток, зарплати, ПДВ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1-7 років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Формальна зайнятість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Початкові витрати на програми праці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ПДФО, внески, менша соціальна підтримка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0-3 роки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Експортна промисловість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Потреба в логістиці й фінансуванні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Валютна виручка, прибуток, податкові надходження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1-5 років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Воєнні видатки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Підвищують розрив незалежно від промислового ефекту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Оборонна локалізація може частково повертати кошти в економіку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поточний і середній горизонт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Формула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Дефіцит бюджету = видатки бюджету − доходи бюджету − гранти, якщо гранти обліковуються окремо.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Видатки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Оборона, соціальні програми, обслуговування боргу, відновлення, управління, інвестиційні програми.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Доходи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Податки, митні платежі, неподаткові доходи, доходи фондів залежно від бюджетного контуру.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Гранти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Зовнішня підтримка, яка зменшує потребу в запозиченнях, якщо не включена в доходи повторно.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Застереження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Якщо гранти вже включені в доходи, їх не можна віднімати вдруге.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Інтерпретація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Дефіцит із грантами і без грантів показує залежність бюджету від зовнішньої підтримки.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Призначення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Розділяє внутрішню доходну спроможність і зовнішню підтримку.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Вхідні індикатори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Доходи, видатки, гранти, запозичення, дефіцит, ВВП.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Правило інтерпретації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Дефіцит без грантів показує структурний розрив; дефіцит із грантами показує поточну потребу у фінансуванні.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Правило джерел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Бюджет: ; фіскальний digest: V3-TAX-; World Bank DPO: V3-TAX-.: Forbes Ukraine; BBC News; MINFIN__Ukraine_Budget_Full.xlsx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Застереження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Різні джерела по-різному класифікують гранти, тому потрібна явна методична примітка.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Інтерпретація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Гранти підтримують бюджет, але не замінюють внутрішню податкову базу.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Боргове навантаження і ВВП-деномінатор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Борг до ВВП є ключовим показником V3, тому що він поєднує фіскальну потребу і масштаб економіки. [1] Борг зростає через запозичення, а борг/ВВП може погіршуватися також через слабкий номінальний ВВП, девальвацію або нижчу продуктивність. Державний борговий ряд і зведений ряд ВВП створюють базу для цієї оцінки.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 xml:space="preserve">У 2021 році борг/ВВП у гривневій оцінці становив близько </w:t>
      </w:r>
      <w:hyperlink r:id="rId12">
        <w:r>
          <w:rPr>
            <w:rFonts w:ascii="Arial" w:hAnsi="Arial" w:eastAsia="Arial"/>
            <w:sz w:val="24"/>
            <w:color w:val="0000EE"/>
            <w:u w:val="single"/>
          </w:rPr>
          <w:t>48,9%</w:t>
        </w:r>
      </w:hyperlink>
      <w:r>
        <w:rPr>
          <w:rFonts w:ascii="Arial" w:hAnsi="Arial" w:eastAsia="Arial"/>
          <w:b w:val="0"/>
          <w:i w:val="0"/>
          <w:color w:val="000000"/>
          <w:sz w:val="24"/>
        </w:rPr>
        <w:t>. [1] У 2025 році цей показник перевищив 100%.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НБУ в інфляційному звіті подає макрофінансовий контур для інфляції, ставки, зовнішньої допомоги й очікувань, а EBRD оцінює збереження макростабільності України попри війну. [1]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Промислова політика впливає на борг через три канали: [1] прямий: бюджет може фінансувати підтримку або гарантії; доходний: промисловість збільшує податки й зменшує потребу в запозиченнях; ВВП-деномінатор: вищий номінальний і реальний випуск знижує борг/ВВП за інших рівних умов.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Період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Борг, трлн грн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Борг/ВВП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Фіскальна інтерпретація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Ключовий ризик</w:t>
            </w:r>
          </w:p>
        </w:tc>
        <w:tc>
          <w:tcPr>
            <w:tcW w:type="dxa" w:w="794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2020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2,6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60,8%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довоєнна / ковідна база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пандемічний дефіцит і структурний борг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2021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2,7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48,9%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довоєнна / ковідна база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пандемічний дефіцит і структурний борг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2022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4,1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78,4%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воєнне нарощування боргу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шок ВВП, курс і нові запозичення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2023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5,5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84,4%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воєнне нарощування боргу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шок ВВП, курс і нові запозичення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2024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7,0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91,2%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перехід до дуже високого боргового навантаження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шок ВВП, курс і нові запозичення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2025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9,0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101,2%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перехід до дуже високого боргового навантаження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шок ВВП, курс і нові запозичення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Формула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Борг/ВВП = державний і гарантований державою борг / номінальний ВВП × 100.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Борг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Сукупний державний і гарантований державою борг у вибраному вимірі.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Номінальний ВВП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Гривневий розмір економіки у поточних цінах.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Множник 100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Переведення у відсотки ВВП.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Застереження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Показник чутливий до номінального ВВП, курсу, інфляції і структури боргу.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Інтерпретація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Борг/ВВП може знижуватися через фіскальну дисципліну і через прискорення економічного зростання.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Формула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Δ(Борг/ВВП) ≈ вплив нового дефіциту + вплив курсу та відсотків − вплив зростання ВВП.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Новий дефіцит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Фінансування розриву доходів і видатків збільшує борговий чисельник.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Курс та відсотки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Валютний борг і ставка можуть посилити борговий тиск.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Зростання ВВП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Вищий номінальний ВВП збільшує знаменник і пом’якшує борг/ВВП.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Застереження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Формула є публічним поясненням механізму, а не повною борговою моделлю.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Інтерпретація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Реіндустріалізація працює на боргову стійкість через ВВП і доходи, а не тільки через скорочення видатків.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Призначення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Пояснює, чому боргове навантаження залежить від боргу і масштабу економіки.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Вхідні індикатори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Державний борг, гарантований борг, номінальний ВВП, курс, ставка, дефіцит, гранти.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Правило інтерпретації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Показник борг/ВВП погіршується від запозичень або слабкого ВВП; покращується від зростання ВВП, грантів і нижчого дефіциту.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Правило джерел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Борг: ; ВВП: ; курс: ; ставка.: MINFIN_Ukraine_GDP.xlsx; NBU__Exchange_Rates.xlsx; MINFIN___Ukraine_State_Debt_2009_2026.xlsx; MINFIN__Key_Rate.xlsx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Застереження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Гривневий і доларовий виміри можуть давати різну чутливість у воєнні роки.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Інтерпретація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Промислова політика з фіскальним поверненням є елементом боргової стратегії.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Фіскальна окупність промислових стимулів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Податкові стимули у цьому блоці оцінюються через окупність. [1] Пільга або компенсація має сенс тоді, коли створює актив, який генерує майбутні доходи бюджету, зайнятість і додану вартість. Якщо стимул лише знижує податки без нової інвестиції, він погіршує дефіцит і не створює боргової стійкості.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OECD Tax Policy Reforms 2025 показує, що уряди балансують мобілізацію доходів і таргетовану підтримку, а OECD Investment Tax Incentives Database дає таксономію інструментів, умов доступу та вимірюваних результатів. [1]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Для України цей підхід важливий у зв’язку з інтеграцією до європейської правової та конкуренційної рамки. [1] Правила регіональної допомоги Європейської комісії пов’язують підтримку з менш розвиненими територіями, зайнятістю та економічним розвитком, а дослідження Європейського парламенту щодо податкових стимулів підкреслює потребу в ефективності й запобіганні шкідливим практикам.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Фіскальна окупність потребує трьох умов: [1] чіткий інструмент, вимірюваний результат і механізм припинення або перегляду. Інструмент без умов створює субсидійну пастку; інструмент із прив’язкою до інвестиції, робочих місць, локалізації або R&amp;D може створити чистий фіскальний ефект.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Інструмент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Коротка фіскальна вартість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Умова доступу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Очікуване повернення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Ризик</w:t>
            </w:r>
          </w:p>
        </w:tc>
        <w:tc>
          <w:tcPr>
            <w:tcW w:type="dxa" w:w="794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Податковий кредит на інвестиції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Відкладення або зменшення податку на прибуток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Нові капітальні інвестиції, підтверджений актив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Вищий прибуток, ПДВ, зарплати, локальна база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Пільга без додаткової інвестиції.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Прискорена амортизація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Менший податок у ранній фазі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Обладнання, модернізація, енергоефективність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Більша продуктивність і прибутковість після лагу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Короткий дохід падає раніше за появу ефекту.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R&amp;D-стимул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Зниження ефективної вартості досліджень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Перевірний R&amp;D, інженерні роботи, прототипи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Інновації, серійність, експортні ніші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Складність вимірювання результату.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Регіональна допомога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Бюджетна або податкова підтримка територій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Інвестиція у регіон, зайнятість, виробнича спроможність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Податки, робочі місця, локальні бюджети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Порушення конкуренції без чітких критеріїв.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Гарантія або компенсація ризику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Умовне бюджетне зобов’язання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Приватна інвестиція, страхування, власний капітал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Запуск проєкту без повного бюджетного фінансування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Матеріалізація гарантійного ризику.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Формула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Чистий фіскальний ефект = додаткові доходи бюджету − додаткові видатки бюджету − вартість стимулів.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Додаткові доходи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Приріст ПДВ, податку на прибуток, податків на працю, митних і місцевих платежів.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Додаткові видатки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Бюджетна підтримка, компенсації, адміністрування, соціальні програми, інфраструктура.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Вартість стимулів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Втрачений або відкладений податковий дохід, гранти, пільги, гарантійний ризик.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Застереження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Позитивний ефект залежить від лагу; ранні витрати можуть передувати доходам.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Інтерпретація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Стимул є фіскально виправданим, коли чистий ефект стає позитивним у визначеному горизонті.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Формула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Окупність стимулу = накопичені додаткові бюджетні доходи / бюджетна вартість стимулу.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Накопичені доходи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Сума додаткових податкових і пов’язаних надходжень за роками.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Бюджетна вартість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Податкова пільга, грант, компенсація, гарантійний збиток або адміністративна вартість.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Порогове читання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Значення понад 1 означає, що доходи перевищили бюджетну вартість.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Застереження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Потрібно враховувати часовий лаг, ризик недосягнення умов і альтернативну вартість коштів.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Інтерпретація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Окупність дисциплінує промислові стимули і зменшує ризик постійної субсидії.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Призначення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Відділяє продуктивні стимули від постійних бюджетних втрат.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Вхідні індикатори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Тип інструменту, вартість, умови доступу, інвестиція, робочі місця, податковий потік, строк.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Правило інтерпретації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Стимул прийнятний лише за наявності вимірюваного результату і механізму перегляду.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Правило джерел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OECD: V3-TAX-, V3-TAX-, V3-TAX-; ЄС: V3-TAX-, V3-TAX-; R&amp;D: V3-TAX-.: GMK Center; GMK Center; GMK Center; Good Time Invest; DUPLICATE of DR-01-S001; Вікіпедія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Застереження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Глобальна мінімальна ставка і європейські правила зменшують простір для неконтрольованих податкових канікул.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Інтерпретація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Фіскально сильний стимул працює через інвестицію і майбутній податковий потік.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Фіскальна чутливість і ризики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Найсильніші змінні - ВВП, курс, гранти, оборонні видатки, відсоткова ставка, соціальний тиск, зайнятість і приватні інвестиції. [1]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Курс впливає на борг, імпорт, митні платежі, ПДВ на імпорт і вартість обслуговування валютних зобов’язань. [1] Офіційний курс НБУ тому використовується як один із параметрів фіскальної чутливості.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Відсоткова ставка впливає на ціну внутрішнього фінансування, борговий сервіс і приватний кредитний канал. [1] Ряд облікової ставки НБУ не є прямим прогнозом промисловості, але створює межу для оцінки фінансової вартості державних і приватних рішень.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Зовнішній сектор і резерви задають фінансову спроможність пережити шоки. [1] Платіжний баланс і міжнародні резерви не належать до ядра V3, але визначають фон, у якому боргове навантаження і дефіцит залишаються керованими.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Параметр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Канал впливу на доходи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Канал впливу на видатки/борг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Сигнал для моніторингу</w:t>
            </w:r>
          </w:p>
        </w:tc>
        <w:tc>
          <w:tcPr>
            <w:tcW w:type="dxa" w:w="794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ВВП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Більший ВВП розширює базу податків і борговий знаменник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Слабкий ВВП підвищує борг/ВВП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ВВП, ВДВ, розподільчий метод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Курс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Впливає на імпортний ПДВ і митні платежі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Підвищує гривневу вартість валютних зобов’язань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USD/UAH, EUR/UAH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Гранти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Знижують потребу в борговому фінансуванні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Можуть маскувати структурний розрив без грантів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дефіцит із грантами / без грантів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Оборонні видатки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Локалізація може повертати частину коштів у податкову базу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Висока частка видатків тримає дефіцит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функціональна структура видатків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Ставка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Впливає на кредит, інвестиції, прибутковість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Підвищує вартість фінансування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облікова ставка, ринкові ставки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Зайнятість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ПДФО, внески, місцевий попит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Менша підтримка при формальній роботі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безробіття, зарплати, вакансії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Інвестиції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Створюють майбутній прибуток і ПДВ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Можуть потребувати стимулів і гарантій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ПІІ, капітальні інвестиції, гарантії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Формула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Фіскальна чутливість до ВВП = зміна доходів бюджету / зміна номінального ВВП.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Зміна доходів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Приріст або падіння доходів бюджету між двома періодами.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Зміна ВВП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Приріст або падіння номінального ВВП між тими самими періодами.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Інтерпретація понад 1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Доходи реагують сильніше за номінальний ВВП, часто через податкову структуру або одноразові чинники.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Інтерпретація нижче 1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Доходи реагують слабше за ВВП; можливі пільги, тінізація, структура секторів або затримки.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Застереження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У воєнні роки гранти, інфляція і одноразові надходження можуть спотворювати показник.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Призначення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Показує, які параметри найшвидше змінюють фіскальний результат.</w:t>
            </w:r>
          </w:p>
        </w:tc>
        <w:tc>
          <w:tcPr>
            <w:tcW w:type="dxa" w:w="1247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Вхідні індикатори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ВВП, курс, доходи, видатки, гранти, борг, ставка, резерви, зайнятість.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Правило інтерпретації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Кожен параметр має знак, лаг і канал впливу на доходи, видатки або борг.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Правило джерел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ВВП: ; курс: ; бюджет: ; борг: ; ставка: ; резерви.: MINFIN_Ukraine_GDP.xlsx; NBU__Exchange_Rates.xlsx; MINFIN___Ukraine_State_Debt_2009_2026.xlsx; MINFIN__Ukraine_Budget_Full.xlsx; MINFIN__Key_Rate.xlsx; MINFIN__Ukraine_Reserves.xlsx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Застереження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Фіскальна чутливість не є повною стохастичною моделлю; вона є публічним інструментом читання ризиків.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72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Інтерпретація</w:t>
            </w:r>
          </w:p>
        </w:tc>
        <w:tc>
          <w:tcPr>
            <w:tcW w:type="dxa" w:w="5102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Найсильніші ризики потребують окремих запобіжників у промисловій програмі.</w:t>
            </w:r>
          </w:p>
        </w:tc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Додаткові фіскальні таблиці V3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Секторний сигнал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Фіскальний канал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Як читається у цьому блоці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Джерела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Застереження</w:t>
            </w:r>
          </w:p>
        </w:tc>
        <w:tc>
          <w:tcPr>
            <w:tcW w:type="dxa" w:w="794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Виробництво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ПДВ, прибуток, зарплати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Фізичне відновлення створює потенційну базу, якщо переходить у формальні продажі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A0-G02: STAT_ВВП_за_виробничим_методом.xlsx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Фізичні одиниці секторів не сумуються прямо.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Експорт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Валютна виручка, прибуток, митний і ПДВ-контур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Експорт покращує прибутковість і стійкість платіжного балансу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A0-G05: MINFIN__Ukraine_BoP.xlsx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Не кожен експорт одразу збільшує бюджетний дохід.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Зайнятість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ПДФО, внески, менше соціальних витрат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Формальна робота створює подвійний фіскальний ефект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A0-G04: MINFIN__Ukraine_Labour_Market.xlsx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Дефіцит кадрів може обмежити ефект.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Інвестиції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Майбутній прибуток, ПДВ на обладнання, податки на працю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Капітал створює лаговий, а не миттєвий дохід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B4-G02, V3-TAX-: GMK Center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Стимул може коштувати бюджету раніше за повернення.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Локалізація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Внутрішня додана вартість і місцеві податки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Більша частина ланцюга залишається в Україні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V3-TAX-: Good Time Invest</w:t>
            </w:r>
          </w:p>
        </w:tc>
        <w:tc>
          <w:tcPr>
            <w:tcW w:type="dxa" w:w="1559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Потрібна сумісність із правилами допомоги і конкуренції.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Зона ризику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Що може спотворити висновок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Як V3 контролює ризик</w:t>
            </w:r>
          </w:p>
        </w:tc>
        <w:tc>
          <w:tcPr>
            <w:tcW w:type="dxa" w:w="850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Номінальні гривні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Інфляція збільшує суми без реального приросту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Показники інтерпретуються поряд із ВВП, борг/ВВП і реальним випуском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Державний / зведений бюджет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Периметри не збігаються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Таблиці маркують, який бюджетний контур використано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Гранти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Можуть бути включені в доходи або показані окремо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Дефіцит із грантами і без грантів читається окремо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Безробіття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Реєстрація не дорівнює повному безробіттю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Соціальний тиск читається через кілька джерел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Борг у гривні та USD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Курс змінює інтерпретацію боргу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Борг читається разом із курсом і ВВП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438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Податкові стимули</w:t>
            </w:r>
          </w:p>
        </w:tc>
        <w:tc>
          <w:tcPr>
            <w:tcW w:type="dxa" w:w="3685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Вартість може бути прихованою або відкладеною</w:t>
            </w:r>
          </w:p>
        </w:tc>
        <w:tc>
          <w:tcPr>
            <w:tcW w:type="dxa" w:w="23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Потрібні умови, строк і окупність</w:t>
            </w:r>
          </w:p>
        </w:tc>
        <w:tc>
          <w:tcPr>
            <w:tcW w:type="dxa" w:w="850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Умова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Сильний результат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Слабкий результат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Що перевіряти</w:t>
            </w:r>
          </w:p>
        </w:tc>
        <w:tc>
          <w:tcPr>
            <w:tcW w:type="dxa" w:w="794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000000"/>
                <w:sz w:val="20"/>
              </w:rPr>
              <w:t>Опора</w:t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Податкова база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Новий випуск переходить у ПДВ, прибуток і зарплати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Випуск неформальний або збитковий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офіційні продажі, прибуток, фонд оплати праці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Зайнятість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Формальні робочі місця зменшують соціальний тиск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Кадровий дефіцит або тіньова зайнятість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ПДФО, внески, вакансії, безробіття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Стимул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Має умови, строк, результат і окупність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Постійна пільга без активу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вартість стимулу, інвестиція, окупність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Дефіцит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Після лагу доходи скорочують розрив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Витрати тривають довше за доходи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дефіцит із грантами і без грантів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Борг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ВВП зростає швидше за борговий тиск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Борг зростає при слабкому ВВП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борг/ВВП, курс, ставка, гранти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  <w:tr>
        <w:tc>
          <w:tcPr>
            <w:tcW w:type="dxa" w:w="204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Сценарна передача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J1 отримує параметри, а не загальні лозунги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Фіскальна частина залишається доктриною</w:t>
            </w:r>
          </w:p>
        </w:tc>
        <w:tc>
          <w:tcPr>
            <w:tcW w:type="dxa" w:w="2081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таблиці V3, формули, джерела</w:t>
            </w:r>
          </w:p>
        </w:tc>
        <w:tc>
          <w:tcPr>
            <w:tcW w:type="dxa" w:w="794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</w:r>
          </w:p>
        </w:tc>
      </w:tr>
    </w:tbl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Висновок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V3 переводить реіндустріалізацію у мову фіскальної спроможності. [1] Його центральний результат полягає в тому, що промислова політика набуває бюджетного сенсу лише через повторюваний податковий потік, формальну зайнятість, нижчий соціальний тиск, керований дефіцит і стійкіший борг/ВВП.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2020-2025 роки показують жорстку стартову точку: [1] доходи бюджету зросли номінально, але видатки, дефіцит і борг перейшли у воєнний масштаб. Цей факт не закриває простір для промислової політики; він підвищує вимогу до її якості. Програма, яка не створює фіскального повернення, погіршує дефіцитний профіль. Програма, яка створює ВВП, прибуток, зарплати, ПДВ і локалізацію, стає частиною боргової стратегії.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Для наступного сценарного шару важливо зберегти конкретні механізми: [1] формулу промислового податкового потоку, чистий фіскальний ефект, соціальний видатковий тиск, дефіцит із грантами і без грантів, борг/ВВП та чутливість до темпу економіки.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References used in this artifact / Використані джерела в цьому артефакті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Висновки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У бюджетно-боргових наслідках вирішальною стає послідовність кроків, що зменшує ціну затримки і підсилює виробничу спроможність. [1]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Капітал реагує на дисципліну виконання, зрозуміле правило входу і нижчу ціну ризику. [1] Там, де ці умови формуються, воєнна невизначеність переходить у фактор, який можна оцінити, страхувати і закладати в інвестиційну модель.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Праця, інженерні команди і нові виробничі ініціативи тримаються там, де видно реальний фронт роботи, стабільний попит і довший горизонт контракту. [1] Такий зв'язок між рішенням і щоденною економічною поведінкою визначає темп повернення людей та компетенцій.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Суспільна стійкість залежить від прозорих правил, нових виробництв, передбачуваних сервісів і реальної інтеграції тих, хто повертається з війни або вимушеного переміщення. [1] Без цієї опори навіть сильні інвестиційні рішення не переходять у повноцінний цикл зростання.</w:t>
      </w:r>
    </w:p>
    <w:p>
      <w:pPr>
        <w:jc w:val="both"/>
      </w:pPr>
      <w:r>
        <w:rPr>
          <w:rFonts w:ascii="Arial" w:hAnsi="Arial" w:eastAsia="Arial"/>
          <w:b w:val="0"/>
          <w:i w:val="0"/>
          <w:color w:val="000000"/>
          <w:sz w:val="24"/>
        </w:rPr>
        <w:t>Подальший крок полягає у зміні сигналів, які можна перевірити повторно. [1] Через них державні рішення, приватний капітал і робота фахівців переходять із режиму виживання в режим контрольованого розвитку.</w:t>
      </w:r>
    </w:p>
    <w:p>
      <w:pPr>
        <w:pStyle w:val="Heading1"/>
      </w:pPr>
      <w:r>
        <w:rPr>
          <w:rFonts w:ascii="Arial" w:hAnsi="Arial" w:eastAsia="Arial"/>
          <w:b/>
          <w:i w:val="0"/>
          <w:color w:val="000000"/>
          <w:sz w:val="44"/>
        </w:rPr>
        <w:t>Список джерел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[1] S122 World Bank; United Nations; European Commission - Ukraine Fifth Rapid Damage and Needs Assessment (RDNA5) [Електронний ресурс]. worldbank.org, 2026.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[2] S087 National Bank of Ukraine (NBU) — FSR 2025 H1 eng [Електронний ресурс]. - bank.gov.ua. - null. - Режим доступу: https://bank.gov.ua/admin_uploads/article/FSR_2025-H1_eng.pdf.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[3] S091 International Monetary Fund (IMF) — ukr [Електронний ресурс]. - www.imf.org. - null. - Режим доступу: https://www.imf.org/en/countries/ukr.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[4] S363 IMF — Ukraine country page [Електронний ресурс]. - imf.org. - "live page, accessed 2026-05-18". - Режим доступу: https://www.imf.org/en/countries/ukr.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[5] S364 World Bank — Ukraine Macro Poverty Outlook, April 2026 [Електронний ресурс]. - thedocs.worldbank.org. - "2026-04". - Режим доступу: https://thedocs.worldbank.org/en/doc/d5f32ef28464d01f195827b7e020a3e8-0500022021/related/mpo-ukr.pdf.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[6] S365 EBRD — Ukraine maintains macroeconomic stability despite war [Електронний ресурс]. - ebrd.com. - "2026-02-26". - Режим доступу: https://www.ebrd.com/home/news-and-events/news/2026/ukraine-maintains-macroeconomic-stability-despite-war---ebrd-rep.html.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[7] S366 OECD — Ukraine Economic Snapshot [Електронний ресурс]. - oecd.org. - "live page; Dec 2025 projection note". - Режим доступу: https://www.oecd.org/en/topics/sub-issues/economic-surveys/ukraine-economic-snapshot.html.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[8] S367 NBU — Inflation Report, April 2026 [Електронний ресурс]. - bank.gov.ua. - "2026-04". - Режим доступу: https://bank.gov.ua/admin_uploads/article/IR_2026-Q2_summary_en.pdf?v=17.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[9] S368 worldsteel — Short Range Outlook April 2026 [Електронний ресурс]. - worldsteel.org. - "2026-04-14". - Режим доступу: https://worldsteel.org/media/press-releases/2026/worldsteel-short-range-outlook-april-2026/.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[10] S369 IEA — Electricity 2026 [Електронний ресурс]. - iea.org. - "2026". - Режим доступу: https://www.iea.org/reports/electricity-2026/executive-summary.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[11] S370 OECD‑FAO — Agricultural Outlook 2025–2034 [Електронний ресурс]. - oecd.org. - "2025-07". - Режим доступу: https://www.oecd.org/en/publications/2025/07/oecd-fao-agricultural-outlook-2025-2034_3eb15914.html.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[12] S371 European Commission — Carbon Border Adjustment Mechanism [Електронний ресурс]. - taxation-customs.ec.europa.eu. - "live page; definitive regime from 2026". - Режим доступу: https://taxation-customs.ec.europa.eu/carbon-border-adjustment-mechanism_en.</w:t>
      </w:r>
    </w:p>
    <w:p>
      <w:pPr/>
      <w:r>
        <w:rPr>
          <w:rFonts w:ascii="Arial" w:hAnsi="Arial" w:eastAsia="Arial"/>
          <w:b w:val="0"/>
          <w:i w:val="0"/>
          <w:color w:val="000000"/>
          <w:sz w:val="24"/>
        </w:rPr>
        <w:t>[13] S372 OECD. Ukraine’s Strategic Response to the Displacement Crisis [Електронний ресурс]. OECD, 2026. Режим доступу: https://www.oecd.org/en/publications/ukraine-s-strategic-response-to-the-displacement-crisis_9b773da4-en.html. Дата звернення: 2026-05-25.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59" w:lineRule="auto"/>
      <w:jc w:val="both"/>
    </w:pPr>
    <w:rPr>
      <w:rFonts w:ascii="Arial" w:hAnsi="Arial" w:eastAsia="Arial"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20" w:after="120"/>
      <w:jc w:val="left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00000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120"/>
      <w:jc w:val="left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0000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120"/>
      <w:jc w:val="left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000000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120" w:after="120"/>
      <w:jc w:val="left"/>
      <w:outlineLvl w:val="3"/>
    </w:pPr>
    <w:rPr>
      <w:rFonts w:asciiTheme="majorHAnsi" w:eastAsiaTheme="majorEastAsia" w:hAnsiTheme="majorHAnsi" w:cstheme="majorBidi" w:ascii="Arial" w:hAnsi="Arial" w:eastAsia="Arial"/>
      <w:b/>
      <w:bCs/>
      <w:i/>
      <w:iCs/>
      <w:color w:val="000000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 w:before="120"/>
      <w:contextualSpacing/>
      <w:jc w:val="left"/>
    </w:pPr>
    <w:rPr>
      <w:rFonts w:asciiTheme="majorHAnsi" w:eastAsiaTheme="majorEastAsia" w:hAnsiTheme="majorHAnsi" w:cstheme="majorBidi" w:ascii="Arial" w:hAnsi="Arial" w:eastAsia="Arial"/>
      <w:color w:val="000000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 w:before="80" w:after="160"/>
      <w:jc w:val="center"/>
    </w:pPr>
    <w:rPr>
      <w:rFonts w:ascii="Arial" w:hAnsi="Arial" w:eastAsia="Arial"/>
      <w:b/>
      <w:bCs/>
      <w:color w:val="000000"/>
      <w:sz w:val="22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ank.gov.ua/admin_uploads/article/FSR_2025-H1_eng.pdf" TargetMode="External"/><Relationship Id="rId10" Type="http://schemas.openxmlformats.org/officeDocument/2006/relationships/hyperlink" Target="https://www.imf.org/en/countries/ukr" TargetMode="External"/><Relationship Id="rId11" Type="http://schemas.openxmlformats.org/officeDocument/2006/relationships/image" Target="media/image1.png"/><Relationship Id="rId12" Type="http://schemas.openxmlformats.org/officeDocument/2006/relationships/hyperlink" Target="https://documents1.worldbank.org/curated/en/099022026094036395/pdf/P514499-22f93f3a-4278-42bc-b907-db9553d12069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